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0363" w14:textId="214153F5" w:rsidR="006B41CF" w:rsidRPr="00C34322" w:rsidRDefault="00CC27A1" w:rsidP="002736AE">
      <w:pPr>
        <w:rPr>
          <w:rFonts w:ascii="Georgia" w:eastAsia="Times New Roman" w:hAnsi="Georgia" w:cs="Arial"/>
          <w:b/>
          <w:lang w:val="fr-FR"/>
        </w:rPr>
      </w:pPr>
      <w:r w:rsidRPr="00B54FAB">
        <w:rPr>
          <w:rFonts w:ascii="Georgia" w:hAnsi="Georgia" w:cs="Arial"/>
          <w:b/>
        </w:rPr>
        <w:tab/>
      </w:r>
      <w:r w:rsidRPr="00B54FAB">
        <w:rPr>
          <w:rFonts w:ascii="Georgia" w:hAnsi="Georgia" w:cs="Arial"/>
          <w:b/>
        </w:rPr>
        <w:tab/>
      </w:r>
      <w:r w:rsidRPr="00B54FAB">
        <w:rPr>
          <w:rFonts w:ascii="Georgia" w:hAnsi="Georgia" w:cs="Arial"/>
          <w:b/>
        </w:rPr>
        <w:tab/>
      </w:r>
      <w:r w:rsidRPr="00B54FAB">
        <w:rPr>
          <w:rFonts w:ascii="Georgia" w:hAnsi="Georgia" w:cs="Arial"/>
          <w:b/>
        </w:rPr>
        <w:tab/>
      </w:r>
      <w:r w:rsidR="006B41CF" w:rsidRPr="00B54FAB">
        <w:rPr>
          <w:rFonts w:ascii="Georgia" w:hAnsi="Georgia" w:cs="Arial"/>
          <w:b/>
        </w:rPr>
        <w:tab/>
      </w:r>
      <w:r w:rsidR="006B41CF" w:rsidRPr="00B54FAB">
        <w:rPr>
          <w:rFonts w:ascii="Georgia" w:hAnsi="Georgia" w:cs="Arial"/>
          <w:b/>
        </w:rPr>
        <w:tab/>
      </w:r>
      <w:r w:rsidR="006B41CF" w:rsidRPr="00B54FAB">
        <w:rPr>
          <w:rFonts w:ascii="Georgia" w:hAnsi="Georgia" w:cs="Arial"/>
          <w:b/>
        </w:rPr>
        <w:tab/>
      </w:r>
      <w:r w:rsidR="00885D4C" w:rsidRPr="00B54FAB">
        <w:rPr>
          <w:rFonts w:ascii="Georgia" w:hAnsi="Georgia" w:cs="Arial"/>
          <w:b/>
        </w:rPr>
        <w:t xml:space="preserve"> </w:t>
      </w:r>
      <w:r w:rsidR="00F307C2" w:rsidRPr="00B54FAB">
        <w:rPr>
          <w:rFonts w:ascii="Georgia" w:hAnsi="Georgia" w:cs="Arial"/>
          <w:b/>
        </w:rPr>
        <w:tab/>
      </w:r>
      <w:r w:rsidR="00F307C2" w:rsidRPr="00B54FAB">
        <w:rPr>
          <w:rFonts w:ascii="Georgia" w:hAnsi="Georgia" w:cs="Arial"/>
          <w:b/>
        </w:rPr>
        <w:tab/>
      </w:r>
    </w:p>
    <w:p w14:paraId="0C2FB580" w14:textId="5D545353" w:rsidR="00F307C2" w:rsidRPr="00C34322" w:rsidRDefault="00F307C2" w:rsidP="00AD64E8">
      <w:pPr>
        <w:jc w:val="center"/>
        <w:rPr>
          <w:rFonts w:ascii="Georgia" w:hAnsi="Georgia" w:cs="Arial"/>
          <w:b/>
          <w:lang w:val="fr-FR"/>
        </w:rPr>
      </w:pPr>
      <w:r w:rsidRPr="00C34322">
        <w:rPr>
          <w:rFonts w:ascii="Georgia" w:hAnsi="Georgia" w:cs="Arial"/>
          <w:b/>
          <w:lang w:val="fr-FR"/>
        </w:rPr>
        <w:t>Magna Global</w:t>
      </w:r>
      <w:r w:rsidR="00D94B6F">
        <w:rPr>
          <w:rFonts w:ascii="Georgia" w:hAnsi="Georgia" w:cs="Arial"/>
          <w:b/>
          <w:lang w:val="fr-FR"/>
        </w:rPr>
        <w:t xml:space="preserve"> </w:t>
      </w:r>
      <w:r w:rsidR="00D94B6F">
        <w:rPr>
          <w:rStyle w:val="s14"/>
          <w:rFonts w:ascii="Georgia" w:eastAsia="Times New Roman" w:hAnsi="Georgia"/>
          <w:lang w:val="fr-FR"/>
        </w:rPr>
        <w:t xml:space="preserve">/ </w:t>
      </w:r>
      <w:r w:rsidR="00D94B6F" w:rsidRPr="00D94B6F">
        <w:rPr>
          <w:rStyle w:val="s14"/>
          <w:rFonts w:ascii="Georgia" w:eastAsia="Times New Roman" w:hAnsi="Georgia"/>
          <w:b/>
          <w:lang w:val="fr-FR"/>
        </w:rPr>
        <w:t>Mediabrands</w:t>
      </w:r>
      <w:r w:rsidR="00D94B6F">
        <w:rPr>
          <w:rStyle w:val="s14"/>
          <w:rFonts w:ascii="Georgia" w:eastAsia="Times New Roman" w:hAnsi="Georgia"/>
          <w:b/>
          <w:lang w:val="fr-FR"/>
        </w:rPr>
        <w:t xml:space="preserve"> </w:t>
      </w:r>
      <w:r w:rsidRPr="00C34322">
        <w:rPr>
          <w:rFonts w:ascii="Georgia" w:hAnsi="Georgia" w:cs="Arial"/>
          <w:b/>
          <w:lang w:val="fr-FR"/>
        </w:rPr>
        <w:t>: prévisions publicitaires 2013</w:t>
      </w:r>
    </w:p>
    <w:p w14:paraId="1D529C62" w14:textId="3B9EE9FF" w:rsidR="00F307C2" w:rsidRPr="00C34322" w:rsidRDefault="00F307C2" w:rsidP="00AD64E8">
      <w:pPr>
        <w:jc w:val="center"/>
        <w:rPr>
          <w:rFonts w:ascii="Georgia" w:hAnsi="Georgia" w:cs="Arial"/>
          <w:b/>
          <w:lang w:val="fr-FR"/>
        </w:rPr>
      </w:pPr>
      <w:r w:rsidRPr="00C34322">
        <w:rPr>
          <w:rFonts w:ascii="Georgia" w:hAnsi="Georgia" w:cs="Arial"/>
          <w:b/>
          <w:lang w:val="fr-FR"/>
        </w:rPr>
        <w:t xml:space="preserve">Le marché publicitaire mondial </w:t>
      </w:r>
      <w:r w:rsidR="00B54FAB">
        <w:rPr>
          <w:rFonts w:ascii="Georgia" w:hAnsi="Georgia" w:cs="Arial"/>
          <w:b/>
          <w:lang w:val="fr-FR"/>
        </w:rPr>
        <w:t>en croissance de 3.1%</w:t>
      </w:r>
    </w:p>
    <w:p w14:paraId="05462DE0" w14:textId="77777777" w:rsidR="00F307C2" w:rsidRPr="00C34322" w:rsidRDefault="00F307C2" w:rsidP="00AD64E8">
      <w:pPr>
        <w:jc w:val="center"/>
        <w:rPr>
          <w:rFonts w:ascii="Georgia" w:hAnsi="Georgia" w:cs="Arial"/>
          <w:b/>
          <w:lang w:val="fr-FR"/>
        </w:rPr>
      </w:pPr>
    </w:p>
    <w:p w14:paraId="705AAEC8" w14:textId="52943A15" w:rsidR="00F307C2" w:rsidRPr="00C34322" w:rsidRDefault="00F307C2" w:rsidP="00AD64E8">
      <w:pPr>
        <w:jc w:val="center"/>
        <w:rPr>
          <w:rFonts w:ascii="Georgia" w:hAnsi="Georgia" w:cs="Arial"/>
          <w:lang w:val="fr-FR"/>
        </w:rPr>
      </w:pPr>
      <w:r w:rsidRPr="00C34322">
        <w:rPr>
          <w:rFonts w:ascii="Georgia" w:hAnsi="Georgia" w:cs="Arial"/>
          <w:lang w:val="fr-FR"/>
        </w:rPr>
        <w:t xml:space="preserve">Les </w:t>
      </w:r>
      <w:r w:rsidR="009965B8">
        <w:rPr>
          <w:rFonts w:ascii="Georgia" w:hAnsi="Georgia" w:cs="Arial"/>
          <w:lang w:val="fr-FR"/>
        </w:rPr>
        <w:t xml:space="preserve">recettes </w:t>
      </w:r>
      <w:r w:rsidRPr="00C34322">
        <w:rPr>
          <w:rFonts w:ascii="Georgia" w:hAnsi="Georgia" w:cs="Arial"/>
          <w:lang w:val="fr-FR"/>
        </w:rPr>
        <w:t>des</w:t>
      </w:r>
      <w:r w:rsidR="009739B9" w:rsidRPr="00C34322">
        <w:rPr>
          <w:rFonts w:ascii="Georgia" w:hAnsi="Georgia" w:cs="Arial"/>
          <w:b/>
          <w:lang w:val="fr-FR"/>
        </w:rPr>
        <w:t xml:space="preserve"> médias numériques </w:t>
      </w:r>
      <w:r w:rsidR="009739B9" w:rsidRPr="00C34322">
        <w:rPr>
          <w:rFonts w:ascii="Georgia" w:hAnsi="Georgia" w:cs="Arial"/>
          <w:lang w:val="fr-FR"/>
        </w:rPr>
        <w:t xml:space="preserve">augmenteront de 13,5% </w:t>
      </w:r>
      <w:r w:rsidR="00B54FAB">
        <w:rPr>
          <w:rFonts w:ascii="Georgia" w:hAnsi="Georgia" w:cs="Arial"/>
          <w:lang w:val="fr-FR"/>
        </w:rPr>
        <w:t>dopées par</w:t>
      </w:r>
      <w:r w:rsidR="009739B9" w:rsidRPr="00C34322">
        <w:rPr>
          <w:rFonts w:ascii="Georgia" w:hAnsi="Georgia" w:cs="Arial"/>
          <w:lang w:val="fr-FR"/>
        </w:rPr>
        <w:t xml:space="preserve"> </w:t>
      </w:r>
      <w:r w:rsidR="00B54FAB">
        <w:rPr>
          <w:rFonts w:ascii="Georgia" w:hAnsi="Georgia" w:cs="Arial"/>
          <w:lang w:val="fr-FR"/>
        </w:rPr>
        <w:t xml:space="preserve"> la </w:t>
      </w:r>
      <w:r w:rsidR="009739B9" w:rsidRPr="00C34322">
        <w:rPr>
          <w:rFonts w:ascii="Georgia" w:hAnsi="Georgia" w:cs="Arial"/>
          <w:lang w:val="fr-FR"/>
        </w:rPr>
        <w:t>vidéo</w:t>
      </w:r>
      <w:r w:rsidR="002736AE">
        <w:rPr>
          <w:rFonts w:ascii="Georgia" w:hAnsi="Georgia" w:cs="Arial"/>
          <w:lang w:val="fr-FR"/>
        </w:rPr>
        <w:t xml:space="preserve"> en ligne et l</w:t>
      </w:r>
      <w:r w:rsidR="009739B9" w:rsidRPr="00C34322">
        <w:rPr>
          <w:rFonts w:ascii="Georgia" w:hAnsi="Georgia" w:cs="Arial"/>
          <w:lang w:val="fr-FR"/>
        </w:rPr>
        <w:t xml:space="preserve">es </w:t>
      </w:r>
      <w:r w:rsidR="00B54FAB">
        <w:rPr>
          <w:rFonts w:ascii="Georgia" w:hAnsi="Georgia" w:cs="Arial"/>
          <w:lang w:val="fr-FR"/>
        </w:rPr>
        <w:t>plateformes</w:t>
      </w:r>
      <w:r w:rsidR="009739B9" w:rsidRPr="00C34322">
        <w:rPr>
          <w:rFonts w:ascii="Georgia" w:hAnsi="Georgia" w:cs="Arial"/>
          <w:lang w:val="fr-FR"/>
        </w:rPr>
        <w:t xml:space="preserve"> mobiles</w:t>
      </w:r>
    </w:p>
    <w:p w14:paraId="61F028A3" w14:textId="77777777" w:rsidR="00EB1702" w:rsidRPr="00C34322" w:rsidRDefault="00EB1702" w:rsidP="009739B9">
      <w:pPr>
        <w:rPr>
          <w:rFonts w:ascii="Georgia" w:hAnsi="Georgia" w:cs="Arial"/>
          <w:b/>
          <w:lang w:val="fr-FR"/>
        </w:rPr>
      </w:pPr>
    </w:p>
    <w:p w14:paraId="5553EA54" w14:textId="77777777" w:rsidR="00E50EE3" w:rsidRPr="00FD660D" w:rsidRDefault="009739B9" w:rsidP="00FB028D">
      <w:pPr>
        <w:pStyle w:val="Titre1"/>
        <w:rPr>
          <w:smallCaps/>
          <w:u w:val="single"/>
          <w:lang w:val="fr-FR"/>
        </w:rPr>
      </w:pPr>
      <w:r w:rsidRPr="00FD660D">
        <w:rPr>
          <w:rStyle w:val="s6"/>
          <w:smallCaps/>
          <w:u w:val="single"/>
          <w:lang w:val="fr-FR"/>
        </w:rPr>
        <w:t>Principales constatations</w:t>
      </w:r>
    </w:p>
    <w:p w14:paraId="0F516EB0" w14:textId="77777777" w:rsidR="00E50EE3" w:rsidRPr="00C34322" w:rsidRDefault="00885D4C" w:rsidP="00FD660D">
      <w:pPr>
        <w:pStyle w:val="s15"/>
        <w:spacing w:before="0" w:beforeAutospacing="0" w:after="0" w:afterAutospacing="0"/>
        <w:jc w:val="both"/>
        <w:rPr>
          <w:rFonts w:ascii="Georgia" w:hAnsi="Georgia"/>
          <w:color w:val="BFBFBF" w:themeColor="background1" w:themeShade="BF"/>
          <w:lang w:val="fr-FR"/>
        </w:rPr>
      </w:pPr>
      <w:r w:rsidRPr="00C34322">
        <w:rPr>
          <w:rFonts w:ascii="Georgia" w:hAnsi="Georgia"/>
          <w:color w:val="BFBFBF" w:themeColor="background1" w:themeShade="BF"/>
          <w:lang w:val="fr-FR"/>
        </w:rPr>
        <w:t xml:space="preserve"> </w:t>
      </w:r>
    </w:p>
    <w:p w14:paraId="42100511" w14:textId="2BC57A27" w:rsidR="009739B9" w:rsidRPr="00C34322" w:rsidRDefault="009739B9" w:rsidP="00FD660D">
      <w:pPr>
        <w:pStyle w:val="Paragraphedeliste"/>
        <w:numPr>
          <w:ilvl w:val="0"/>
          <w:numId w:val="4"/>
        </w:numPr>
        <w:jc w:val="both"/>
        <w:rPr>
          <w:rStyle w:val="s14"/>
          <w:rFonts w:ascii="Georgia" w:eastAsia="Times New Roman" w:hAnsi="Georgia"/>
          <w:lang w:val="fr-FR"/>
        </w:rPr>
      </w:pPr>
      <w:r w:rsidRPr="00C34322">
        <w:rPr>
          <w:rStyle w:val="s14"/>
          <w:rFonts w:ascii="Georgia" w:eastAsia="Times New Roman" w:hAnsi="Georgia"/>
          <w:b/>
          <w:lang w:val="fr-FR"/>
        </w:rPr>
        <w:t>Magna Global</w:t>
      </w:r>
      <w:r w:rsidRPr="00C34322">
        <w:rPr>
          <w:rStyle w:val="s14"/>
          <w:rFonts w:ascii="Georgia" w:eastAsia="Times New Roman" w:hAnsi="Georgia"/>
          <w:lang w:val="fr-FR"/>
        </w:rPr>
        <w:t xml:space="preserve"> </w:t>
      </w:r>
      <w:r w:rsidR="00D94B6F">
        <w:rPr>
          <w:rStyle w:val="s14"/>
          <w:rFonts w:ascii="Georgia" w:eastAsia="Times New Roman" w:hAnsi="Georgia"/>
          <w:lang w:val="fr-FR"/>
        </w:rPr>
        <w:t xml:space="preserve">/ </w:t>
      </w:r>
      <w:r w:rsidR="00D94B6F" w:rsidRPr="00D94B6F">
        <w:rPr>
          <w:rStyle w:val="s14"/>
          <w:rFonts w:ascii="Georgia" w:eastAsia="Times New Roman" w:hAnsi="Georgia"/>
          <w:b/>
          <w:lang w:val="fr-FR"/>
        </w:rPr>
        <w:t>Mediabrands</w:t>
      </w:r>
      <w:r w:rsidR="00D94B6F">
        <w:rPr>
          <w:rStyle w:val="s14"/>
          <w:rFonts w:ascii="Georgia" w:eastAsia="Times New Roman" w:hAnsi="Georgia"/>
          <w:lang w:val="fr-FR"/>
        </w:rPr>
        <w:t xml:space="preserve"> </w:t>
      </w:r>
      <w:r w:rsidRPr="00C34322">
        <w:rPr>
          <w:rStyle w:val="s14"/>
          <w:rFonts w:ascii="Georgia" w:eastAsia="Times New Roman" w:hAnsi="Georgia"/>
          <w:lang w:val="fr-FR"/>
        </w:rPr>
        <w:t xml:space="preserve">prévoit une croissance de </w:t>
      </w:r>
      <w:r w:rsidR="00046E42">
        <w:rPr>
          <w:rStyle w:val="s14"/>
          <w:rFonts w:ascii="Georgia" w:eastAsia="Times New Roman" w:hAnsi="Georgia"/>
          <w:lang w:val="fr-FR"/>
        </w:rPr>
        <w:t>+</w:t>
      </w:r>
      <w:r w:rsidRPr="00C34322">
        <w:rPr>
          <w:rStyle w:val="s14"/>
          <w:rFonts w:ascii="Georgia" w:eastAsia="Times New Roman" w:hAnsi="Georgia"/>
          <w:lang w:val="fr-FR"/>
        </w:rPr>
        <w:t xml:space="preserve">3,1% des recettes </w:t>
      </w:r>
      <w:r w:rsidR="00D94B6F">
        <w:rPr>
          <w:rStyle w:val="s14"/>
          <w:rFonts w:ascii="Georgia" w:eastAsia="Times New Roman" w:hAnsi="Georgia"/>
          <w:lang w:val="fr-FR"/>
        </w:rPr>
        <w:t xml:space="preserve">publicitaires </w:t>
      </w:r>
      <w:r w:rsidRPr="00C34322">
        <w:rPr>
          <w:rStyle w:val="s14"/>
          <w:rFonts w:ascii="Georgia" w:eastAsia="Times New Roman" w:hAnsi="Georgia"/>
          <w:lang w:val="fr-FR"/>
        </w:rPr>
        <w:t>en 2013. Les prévisions de juin 2012 (</w:t>
      </w:r>
      <w:r w:rsidR="00046E42">
        <w:rPr>
          <w:rStyle w:val="s14"/>
          <w:rFonts w:ascii="Georgia" w:eastAsia="Times New Roman" w:hAnsi="Georgia"/>
          <w:lang w:val="fr-FR"/>
        </w:rPr>
        <w:t>+</w:t>
      </w:r>
      <w:r w:rsidRPr="00C34322">
        <w:rPr>
          <w:rStyle w:val="s14"/>
          <w:rFonts w:ascii="Georgia" w:eastAsia="Times New Roman" w:hAnsi="Georgia"/>
          <w:lang w:val="fr-FR"/>
        </w:rPr>
        <w:t>4,5%) ont été revues à la baisse</w:t>
      </w:r>
      <w:r w:rsidR="00046E42">
        <w:rPr>
          <w:rStyle w:val="s14"/>
          <w:rFonts w:ascii="Georgia" w:eastAsia="Times New Roman" w:hAnsi="Georgia"/>
          <w:lang w:val="fr-FR"/>
        </w:rPr>
        <w:t xml:space="preserve"> en raison d</w:t>
      </w:r>
      <w:r w:rsidRPr="00C34322">
        <w:rPr>
          <w:rStyle w:val="s14"/>
          <w:rFonts w:ascii="Georgia" w:eastAsia="Times New Roman" w:hAnsi="Georgia"/>
          <w:lang w:val="fr-FR"/>
        </w:rPr>
        <w:t>u ralentissement de la croissance économique</w:t>
      </w:r>
      <w:r w:rsidR="00046E42">
        <w:rPr>
          <w:rStyle w:val="s14"/>
          <w:rFonts w:ascii="Georgia" w:eastAsia="Times New Roman" w:hAnsi="Georgia"/>
          <w:lang w:val="fr-FR"/>
        </w:rPr>
        <w:t xml:space="preserve"> en </w:t>
      </w:r>
      <w:r w:rsidRPr="00C34322">
        <w:rPr>
          <w:rStyle w:val="s14"/>
          <w:rFonts w:ascii="Georgia" w:eastAsia="Times New Roman" w:hAnsi="Georgia"/>
          <w:lang w:val="fr-FR"/>
        </w:rPr>
        <w:t xml:space="preserve">Europe et </w:t>
      </w:r>
      <w:r w:rsidR="00046E42">
        <w:rPr>
          <w:rStyle w:val="s14"/>
          <w:rFonts w:ascii="Georgia" w:eastAsia="Times New Roman" w:hAnsi="Georgia"/>
          <w:lang w:val="fr-FR"/>
        </w:rPr>
        <w:t>aux</w:t>
      </w:r>
      <w:r w:rsidRPr="00C34322">
        <w:rPr>
          <w:rStyle w:val="s14"/>
          <w:rFonts w:ascii="Georgia" w:eastAsia="Times New Roman" w:hAnsi="Georgia"/>
          <w:lang w:val="fr-FR"/>
        </w:rPr>
        <w:t xml:space="preserve"> </w:t>
      </w:r>
      <w:r w:rsidR="00C34322" w:rsidRPr="00C34322">
        <w:rPr>
          <w:rStyle w:val="s14"/>
          <w:rFonts w:ascii="Georgia" w:eastAsia="Times New Roman" w:hAnsi="Georgia"/>
          <w:lang w:val="fr-FR"/>
        </w:rPr>
        <w:t>Etats-Unis</w:t>
      </w:r>
      <w:r w:rsidR="00046E42">
        <w:rPr>
          <w:rStyle w:val="s14"/>
          <w:rFonts w:ascii="Georgia" w:eastAsia="Times New Roman" w:hAnsi="Georgia"/>
          <w:lang w:val="fr-FR"/>
        </w:rPr>
        <w:t>, ainsi que d</w:t>
      </w:r>
      <w:r w:rsidR="001B1448" w:rsidRPr="00C34322">
        <w:rPr>
          <w:rStyle w:val="s14"/>
          <w:rFonts w:ascii="Georgia" w:eastAsia="Times New Roman" w:hAnsi="Georgia"/>
          <w:lang w:val="fr-FR"/>
        </w:rPr>
        <w:t xml:space="preserve">es dépenses </w:t>
      </w:r>
      <w:r w:rsidR="00BB1521" w:rsidRPr="00C34322">
        <w:rPr>
          <w:rStyle w:val="s14"/>
          <w:rFonts w:ascii="Georgia" w:eastAsia="Times New Roman" w:hAnsi="Georgia"/>
          <w:lang w:val="fr-FR"/>
        </w:rPr>
        <w:t xml:space="preserve">marketing </w:t>
      </w:r>
      <w:r w:rsidR="001B1448" w:rsidRPr="00C34322">
        <w:rPr>
          <w:rStyle w:val="s14"/>
          <w:rFonts w:ascii="Georgia" w:eastAsia="Times New Roman" w:hAnsi="Georgia"/>
          <w:lang w:val="fr-FR"/>
        </w:rPr>
        <w:t xml:space="preserve">prudentes </w:t>
      </w:r>
      <w:r w:rsidR="00046E42">
        <w:rPr>
          <w:rStyle w:val="s14"/>
          <w:rFonts w:ascii="Georgia" w:eastAsia="Times New Roman" w:hAnsi="Georgia"/>
          <w:lang w:val="fr-FR"/>
        </w:rPr>
        <w:t>constatées</w:t>
      </w:r>
      <w:r w:rsidR="001B1448" w:rsidRPr="00C34322">
        <w:rPr>
          <w:rStyle w:val="s14"/>
          <w:rFonts w:ascii="Georgia" w:eastAsia="Times New Roman" w:hAnsi="Georgia"/>
          <w:lang w:val="fr-FR"/>
        </w:rPr>
        <w:t xml:space="preserve"> </w:t>
      </w:r>
      <w:r w:rsidR="00046E42">
        <w:rPr>
          <w:rStyle w:val="s14"/>
          <w:rFonts w:ascii="Georgia" w:eastAsia="Times New Roman" w:hAnsi="Georgia"/>
          <w:lang w:val="fr-FR"/>
        </w:rPr>
        <w:t xml:space="preserve">dans de nombreux territoires </w:t>
      </w:r>
      <w:r w:rsidR="00BB1521">
        <w:rPr>
          <w:rStyle w:val="s14"/>
          <w:rFonts w:ascii="Georgia" w:eastAsia="Times New Roman" w:hAnsi="Georgia"/>
          <w:lang w:val="fr-FR"/>
        </w:rPr>
        <w:t>au second semestre</w:t>
      </w:r>
      <w:r w:rsidR="001B1448" w:rsidRPr="00C34322">
        <w:rPr>
          <w:rStyle w:val="s14"/>
          <w:rFonts w:ascii="Georgia" w:eastAsia="Times New Roman" w:hAnsi="Georgia"/>
          <w:lang w:val="fr-FR"/>
        </w:rPr>
        <w:t>.</w:t>
      </w:r>
    </w:p>
    <w:p w14:paraId="7B9F40AD" w14:textId="7F17775E" w:rsidR="00C34322" w:rsidRDefault="00C34322" w:rsidP="00FD660D">
      <w:pPr>
        <w:pStyle w:val="Paragraphedeliste"/>
        <w:numPr>
          <w:ilvl w:val="0"/>
          <w:numId w:val="4"/>
        </w:numPr>
        <w:jc w:val="both"/>
        <w:rPr>
          <w:rStyle w:val="s14"/>
          <w:rFonts w:ascii="Georgia" w:eastAsia="Times New Roman" w:hAnsi="Georgia"/>
          <w:lang w:val="fr-FR"/>
        </w:rPr>
      </w:pPr>
      <w:r w:rsidRPr="00C34322">
        <w:rPr>
          <w:rStyle w:val="s14"/>
          <w:rFonts w:ascii="Georgia" w:eastAsia="Times New Roman" w:hAnsi="Georgia"/>
          <w:lang w:val="fr-FR"/>
        </w:rPr>
        <w:t>Le marché publicitaire mondial a atteint les</w:t>
      </w:r>
      <w:r>
        <w:rPr>
          <w:rStyle w:val="s14"/>
          <w:rFonts w:ascii="Georgia" w:eastAsia="Times New Roman" w:hAnsi="Georgia"/>
          <w:lang w:val="fr-FR"/>
        </w:rPr>
        <w:t xml:space="preserve"> </w:t>
      </w:r>
      <w:r w:rsidRPr="00C34322">
        <w:rPr>
          <w:rStyle w:val="s14"/>
          <w:rFonts w:ascii="Georgia" w:eastAsia="Times New Roman" w:hAnsi="Georgia"/>
          <w:b/>
          <w:lang w:val="fr-FR"/>
        </w:rPr>
        <w:t>495</w:t>
      </w:r>
      <w:r>
        <w:rPr>
          <w:rStyle w:val="s14"/>
          <w:rFonts w:ascii="Georgia" w:eastAsia="Times New Roman" w:hAnsi="Georgia"/>
          <w:lang w:val="fr-FR"/>
        </w:rPr>
        <w:t xml:space="preserve"> milliards de dollars cette année, soit </w:t>
      </w:r>
      <w:r w:rsidR="00046E42">
        <w:rPr>
          <w:rStyle w:val="s14"/>
          <w:rFonts w:ascii="Georgia" w:eastAsia="Times New Roman" w:hAnsi="Georgia"/>
          <w:lang w:val="fr-FR"/>
        </w:rPr>
        <w:t>+</w:t>
      </w:r>
      <w:r>
        <w:rPr>
          <w:rStyle w:val="s14"/>
          <w:rFonts w:ascii="Georgia" w:eastAsia="Times New Roman" w:hAnsi="Georgia"/>
          <w:lang w:val="fr-FR"/>
        </w:rPr>
        <w:t xml:space="preserve">3,8% de plus qu’en 2011. Les Etats-Unis restent le plus gros marché avec 153 milliards de recettes publicitaires. Le Japon, la Chine, l’Allemagne et le Royaume-Uni viennent compléter le top five. </w:t>
      </w:r>
      <w:r w:rsidRPr="00C34322">
        <w:rPr>
          <w:rStyle w:val="s14"/>
          <w:rFonts w:ascii="Georgia" w:eastAsia="Times New Roman" w:hAnsi="Georgia"/>
          <w:lang w:val="fr-FR"/>
        </w:rPr>
        <w:t xml:space="preserve"> </w:t>
      </w:r>
    </w:p>
    <w:p w14:paraId="27813572" w14:textId="51EBE62F" w:rsidR="004E62A7" w:rsidRPr="00532242" w:rsidRDefault="00C34322" w:rsidP="00FD660D">
      <w:pPr>
        <w:pStyle w:val="Paragraphedeliste"/>
        <w:numPr>
          <w:ilvl w:val="0"/>
          <w:numId w:val="4"/>
        </w:numPr>
        <w:jc w:val="both"/>
        <w:rPr>
          <w:rStyle w:val="s14"/>
          <w:rFonts w:ascii="Georgia" w:eastAsia="Times New Roman" w:hAnsi="Georgia"/>
          <w:lang w:val="fr-FR"/>
        </w:rPr>
      </w:pPr>
      <w:r>
        <w:rPr>
          <w:rStyle w:val="s14"/>
          <w:rFonts w:ascii="Georgia" w:eastAsia="Times New Roman" w:hAnsi="Georgia"/>
          <w:lang w:val="fr-FR"/>
        </w:rPr>
        <w:t xml:space="preserve">Le marché publicitaire des </w:t>
      </w:r>
      <w:r w:rsidRPr="00C34322">
        <w:rPr>
          <w:rStyle w:val="s14"/>
          <w:rFonts w:ascii="Georgia" w:eastAsia="Times New Roman" w:hAnsi="Georgia"/>
          <w:b/>
          <w:lang w:val="fr-FR"/>
        </w:rPr>
        <w:t>Etats-Unis</w:t>
      </w:r>
      <w:r>
        <w:rPr>
          <w:rStyle w:val="s14"/>
          <w:rFonts w:ascii="Georgia" w:eastAsia="Times New Roman" w:hAnsi="Georgia"/>
          <w:lang w:val="fr-FR"/>
        </w:rPr>
        <w:t xml:space="preserve"> a augmenté de </w:t>
      </w:r>
      <w:r w:rsidR="00046E42">
        <w:rPr>
          <w:rStyle w:val="s14"/>
          <w:rFonts w:ascii="Georgia" w:eastAsia="Times New Roman" w:hAnsi="Georgia"/>
          <w:lang w:val="fr-FR"/>
        </w:rPr>
        <w:t>+</w:t>
      </w:r>
      <w:r>
        <w:rPr>
          <w:rStyle w:val="s14"/>
          <w:rFonts w:ascii="Georgia" w:eastAsia="Times New Roman" w:hAnsi="Georgia"/>
          <w:lang w:val="fr-FR"/>
        </w:rPr>
        <w:t>4% en 2012, en grande partie grâce aux entrées</w:t>
      </w:r>
      <w:r w:rsidR="00BB1521">
        <w:rPr>
          <w:rStyle w:val="s14"/>
          <w:rFonts w:ascii="Georgia" w:eastAsia="Times New Roman" w:hAnsi="Georgia"/>
          <w:lang w:val="fr-FR"/>
        </w:rPr>
        <w:t xml:space="preserve"> d’argent</w:t>
      </w:r>
      <w:r>
        <w:rPr>
          <w:rStyle w:val="s14"/>
          <w:rFonts w:ascii="Georgia" w:eastAsia="Times New Roman" w:hAnsi="Georgia"/>
          <w:lang w:val="fr-FR"/>
        </w:rPr>
        <w:t xml:space="preserve"> massives provenant des </w:t>
      </w:r>
      <w:r w:rsidR="00FF422B">
        <w:rPr>
          <w:rStyle w:val="s14"/>
          <w:rFonts w:ascii="Georgia" w:eastAsia="Times New Roman" w:hAnsi="Georgia"/>
          <w:lang w:val="fr-FR"/>
        </w:rPr>
        <w:t>campagnes électorales et de</w:t>
      </w:r>
      <w:r w:rsidR="00046E42">
        <w:rPr>
          <w:rStyle w:val="s14"/>
          <w:rFonts w:ascii="Georgia" w:eastAsia="Times New Roman" w:hAnsi="Georgia"/>
          <w:lang w:val="fr-FR"/>
        </w:rPr>
        <w:t xml:space="preserve"> la retransmission des</w:t>
      </w:r>
      <w:r w:rsidR="00FF422B">
        <w:rPr>
          <w:rStyle w:val="s14"/>
          <w:rFonts w:ascii="Georgia" w:eastAsia="Times New Roman" w:hAnsi="Georgia"/>
          <w:lang w:val="fr-FR"/>
        </w:rPr>
        <w:t xml:space="preserve"> Jeux Olympiques de Londres</w:t>
      </w:r>
      <w:r w:rsidR="00BB1521">
        <w:rPr>
          <w:rStyle w:val="s14"/>
          <w:rFonts w:ascii="Georgia" w:eastAsia="Times New Roman" w:hAnsi="Georgia"/>
          <w:lang w:val="fr-FR"/>
        </w:rPr>
        <w:t xml:space="preserve"> (Electoral et Olympique, E&amp;O)</w:t>
      </w:r>
      <w:r>
        <w:rPr>
          <w:rStyle w:val="s14"/>
          <w:rFonts w:ascii="Georgia" w:eastAsia="Times New Roman" w:hAnsi="Georgia"/>
          <w:lang w:val="fr-FR"/>
        </w:rPr>
        <w:t>.</w:t>
      </w:r>
      <w:r w:rsidR="00FF422B">
        <w:rPr>
          <w:rStyle w:val="s14"/>
          <w:rFonts w:ascii="Georgia" w:eastAsia="Times New Roman" w:hAnsi="Georgia"/>
          <w:lang w:val="fr-FR"/>
        </w:rPr>
        <w:t xml:space="preserve"> La </w:t>
      </w:r>
      <w:r w:rsidR="00046E42">
        <w:rPr>
          <w:rStyle w:val="s14"/>
          <w:rFonts w:ascii="Georgia" w:eastAsia="Times New Roman" w:hAnsi="Georgia"/>
          <w:lang w:val="fr-FR"/>
        </w:rPr>
        <w:t xml:space="preserve">publicité politique a battu des records historiques cette </w:t>
      </w:r>
      <w:r w:rsidR="00EA6FF5">
        <w:rPr>
          <w:rStyle w:val="s14"/>
          <w:rFonts w:ascii="Georgia" w:eastAsia="Times New Roman" w:hAnsi="Georgia"/>
          <w:lang w:val="fr-FR"/>
        </w:rPr>
        <w:t xml:space="preserve">année </w:t>
      </w:r>
      <w:r w:rsidR="00BB1521">
        <w:rPr>
          <w:rStyle w:val="s14"/>
          <w:rFonts w:ascii="Georgia" w:eastAsia="Times New Roman" w:hAnsi="Georgia"/>
          <w:lang w:val="fr-FR"/>
        </w:rPr>
        <w:t>générant</w:t>
      </w:r>
      <w:r w:rsidR="00046E42">
        <w:rPr>
          <w:rStyle w:val="s14"/>
          <w:rFonts w:ascii="Georgia" w:eastAsia="Times New Roman" w:hAnsi="Georgia"/>
          <w:lang w:val="fr-FR"/>
        </w:rPr>
        <w:t xml:space="preserve"> 3 milliards de recettes, </w:t>
      </w:r>
      <w:r w:rsidR="00532242">
        <w:rPr>
          <w:rStyle w:val="s14"/>
          <w:rFonts w:ascii="Georgia" w:eastAsia="Times New Roman" w:hAnsi="Georgia"/>
          <w:lang w:val="fr-FR"/>
        </w:rPr>
        <w:t xml:space="preserve">essentiellement </w:t>
      </w:r>
      <w:r w:rsidR="00046E42">
        <w:rPr>
          <w:rStyle w:val="s14"/>
          <w:rFonts w:ascii="Georgia" w:eastAsia="Times New Roman" w:hAnsi="Georgia"/>
          <w:lang w:val="fr-FR"/>
        </w:rPr>
        <w:t>pour les stations de télévision</w:t>
      </w:r>
      <w:r w:rsidR="00FF422B">
        <w:rPr>
          <w:rStyle w:val="s14"/>
          <w:rFonts w:ascii="Georgia" w:eastAsia="Times New Roman" w:hAnsi="Georgia"/>
          <w:lang w:val="fr-FR"/>
        </w:rPr>
        <w:t xml:space="preserve"> locales.</w:t>
      </w:r>
      <w:r w:rsidR="00532242">
        <w:rPr>
          <w:rStyle w:val="s14"/>
          <w:rFonts w:ascii="Georgia" w:eastAsia="Times New Roman" w:hAnsi="Georgia"/>
          <w:lang w:val="fr-FR"/>
        </w:rPr>
        <w:t xml:space="preserve"> Sans </w:t>
      </w:r>
      <w:r w:rsidR="00BB1521">
        <w:rPr>
          <w:rStyle w:val="s14"/>
          <w:rFonts w:ascii="Georgia" w:eastAsia="Times New Roman" w:hAnsi="Georgia"/>
          <w:lang w:val="fr-FR"/>
        </w:rPr>
        <w:t xml:space="preserve">stimulant ou événement du même calibre pour l’année prochaine, </w:t>
      </w:r>
      <w:r w:rsidR="00532242">
        <w:rPr>
          <w:rStyle w:val="s14"/>
          <w:rFonts w:ascii="Georgia" w:eastAsia="Times New Roman" w:hAnsi="Georgia"/>
          <w:lang w:val="fr-FR"/>
        </w:rPr>
        <w:t xml:space="preserve">2013 verra une croissance </w:t>
      </w:r>
      <w:r w:rsidR="00046E42">
        <w:rPr>
          <w:rStyle w:val="s14"/>
          <w:rFonts w:ascii="Georgia" w:eastAsia="Times New Roman" w:hAnsi="Georgia"/>
          <w:lang w:val="fr-FR"/>
        </w:rPr>
        <w:t xml:space="preserve">des recettes beaucoup </w:t>
      </w:r>
      <w:r w:rsidR="00532242">
        <w:rPr>
          <w:rStyle w:val="s14"/>
          <w:rFonts w:ascii="Georgia" w:eastAsia="Times New Roman" w:hAnsi="Georgia"/>
          <w:lang w:val="fr-FR"/>
        </w:rPr>
        <w:t xml:space="preserve">plus modeste : </w:t>
      </w:r>
      <w:r w:rsidR="00046E42">
        <w:rPr>
          <w:rStyle w:val="s14"/>
          <w:rFonts w:ascii="Georgia" w:eastAsia="Times New Roman" w:hAnsi="Georgia"/>
          <w:lang w:val="fr-FR"/>
        </w:rPr>
        <w:t>+</w:t>
      </w:r>
      <w:r w:rsidR="00532242">
        <w:rPr>
          <w:rStyle w:val="s14"/>
          <w:rFonts w:ascii="Georgia" w:eastAsia="Times New Roman" w:hAnsi="Georgia"/>
          <w:lang w:val="fr-FR"/>
        </w:rPr>
        <w:t>0,6%</w:t>
      </w:r>
      <w:r w:rsidR="00A74A17">
        <w:rPr>
          <w:rStyle w:val="s14"/>
          <w:rFonts w:ascii="Georgia" w:eastAsia="Times New Roman" w:hAnsi="Georgia"/>
          <w:lang w:val="fr-FR"/>
        </w:rPr>
        <w:t xml:space="preserve"> (ou </w:t>
      </w:r>
      <w:r w:rsidR="00046E42">
        <w:rPr>
          <w:rStyle w:val="s14"/>
          <w:rFonts w:ascii="Georgia" w:eastAsia="Times New Roman" w:hAnsi="Georgia"/>
          <w:lang w:val="fr-FR"/>
        </w:rPr>
        <w:t>+</w:t>
      </w:r>
      <w:r w:rsidR="00A74A17">
        <w:rPr>
          <w:rStyle w:val="s14"/>
          <w:rFonts w:ascii="Georgia" w:eastAsia="Times New Roman" w:hAnsi="Georgia"/>
          <w:lang w:val="fr-FR"/>
        </w:rPr>
        <w:t>2,6% d</w:t>
      </w:r>
      <w:r w:rsidR="00046E42">
        <w:rPr>
          <w:rStyle w:val="s14"/>
          <w:rFonts w:ascii="Georgia" w:eastAsia="Times New Roman" w:hAnsi="Georgia"/>
          <w:lang w:val="fr-FR"/>
        </w:rPr>
        <w:t xml:space="preserve">e </w:t>
      </w:r>
      <w:r w:rsidR="00A74A17">
        <w:rPr>
          <w:rStyle w:val="s14"/>
          <w:rFonts w:ascii="Georgia" w:eastAsia="Times New Roman" w:hAnsi="Georgia"/>
          <w:lang w:val="fr-FR"/>
        </w:rPr>
        <w:t xml:space="preserve">sous-jacente </w:t>
      </w:r>
      <w:r w:rsidR="00046E42">
        <w:rPr>
          <w:rStyle w:val="s14"/>
          <w:rFonts w:ascii="Georgia" w:eastAsia="Times New Roman" w:hAnsi="Georgia"/>
          <w:lang w:val="fr-FR"/>
        </w:rPr>
        <w:t xml:space="preserve">hors </w:t>
      </w:r>
      <w:r w:rsidR="00A74A17">
        <w:rPr>
          <w:rStyle w:val="s14"/>
          <w:rFonts w:ascii="Georgia" w:eastAsia="Times New Roman" w:hAnsi="Georgia"/>
          <w:lang w:val="fr-FR"/>
        </w:rPr>
        <w:t>E&amp;O)</w:t>
      </w:r>
    </w:p>
    <w:p w14:paraId="22EC0EFD" w14:textId="1ADFC2A1" w:rsidR="00532242" w:rsidRDefault="00532242" w:rsidP="00FD660D">
      <w:pPr>
        <w:pStyle w:val="Paragraphedeliste"/>
        <w:numPr>
          <w:ilvl w:val="0"/>
          <w:numId w:val="4"/>
        </w:numPr>
        <w:jc w:val="both"/>
        <w:rPr>
          <w:rStyle w:val="s14"/>
          <w:rFonts w:ascii="Georgia" w:eastAsia="Times New Roman" w:hAnsi="Georgia"/>
          <w:lang w:val="fr-FR"/>
        </w:rPr>
      </w:pPr>
      <w:r w:rsidRPr="00046E42">
        <w:rPr>
          <w:rStyle w:val="s14"/>
          <w:rFonts w:ascii="Georgia" w:eastAsia="Times New Roman" w:hAnsi="Georgia"/>
          <w:b/>
          <w:lang w:val="fr-FR"/>
        </w:rPr>
        <w:t>L’Europe occidentale</w:t>
      </w:r>
      <w:r>
        <w:rPr>
          <w:rStyle w:val="s14"/>
          <w:rFonts w:ascii="Georgia" w:eastAsia="Times New Roman" w:hAnsi="Georgia"/>
          <w:lang w:val="fr-FR"/>
        </w:rPr>
        <w:t xml:space="preserve"> continue d’éprouver des conditions économiques</w:t>
      </w:r>
      <w:r w:rsidRPr="00532242">
        <w:rPr>
          <w:rStyle w:val="s14"/>
          <w:rFonts w:ascii="Georgia" w:eastAsia="Times New Roman" w:hAnsi="Georgia"/>
          <w:lang w:val="fr-FR"/>
        </w:rPr>
        <w:t xml:space="preserve"> </w:t>
      </w:r>
      <w:r>
        <w:rPr>
          <w:rStyle w:val="s14"/>
          <w:rFonts w:ascii="Georgia" w:eastAsia="Times New Roman" w:hAnsi="Georgia"/>
          <w:lang w:val="fr-FR"/>
        </w:rPr>
        <w:t xml:space="preserve">difficiles. Les recettes publicitaires ont chutées de </w:t>
      </w:r>
      <w:r w:rsidR="00046E42">
        <w:rPr>
          <w:rStyle w:val="s14"/>
          <w:rFonts w:ascii="Georgia" w:eastAsia="Times New Roman" w:hAnsi="Georgia"/>
          <w:lang w:val="fr-FR"/>
        </w:rPr>
        <w:t>-</w:t>
      </w:r>
      <w:r>
        <w:rPr>
          <w:rStyle w:val="s14"/>
          <w:rFonts w:ascii="Georgia" w:eastAsia="Times New Roman" w:hAnsi="Georgia"/>
          <w:lang w:val="fr-FR"/>
        </w:rPr>
        <w:t>2,8% en 2012, et nous prévoyons au minimum une autre année de déclin en 2013 (-0,1%). Les recettes diminueront encore en Europe du Sud (-4,3%), alors que l’Allemagne et le Royaume-Uni afficheront une légère croissance.</w:t>
      </w:r>
    </w:p>
    <w:p w14:paraId="5507B8B4" w14:textId="342D1E18" w:rsidR="00532242" w:rsidRPr="00532242" w:rsidRDefault="00046E42" w:rsidP="00FD660D">
      <w:pPr>
        <w:pStyle w:val="Paragraphedeliste"/>
        <w:numPr>
          <w:ilvl w:val="0"/>
          <w:numId w:val="4"/>
        </w:numPr>
        <w:jc w:val="both"/>
        <w:rPr>
          <w:rStyle w:val="s14"/>
          <w:rFonts w:ascii="Georgia" w:eastAsia="Times New Roman" w:hAnsi="Georgia"/>
          <w:lang w:val="fr-FR"/>
        </w:rPr>
      </w:pPr>
      <w:r>
        <w:rPr>
          <w:rStyle w:val="s14"/>
          <w:rFonts w:ascii="Georgia" w:eastAsia="Times New Roman" w:hAnsi="Georgia"/>
          <w:lang w:val="fr-FR"/>
        </w:rPr>
        <w:t xml:space="preserve">En revanche, la croissance </w:t>
      </w:r>
      <w:r w:rsidR="005F4EFC">
        <w:rPr>
          <w:rStyle w:val="s14"/>
          <w:rFonts w:ascii="Georgia" w:eastAsia="Times New Roman" w:hAnsi="Georgia"/>
          <w:lang w:val="fr-FR"/>
        </w:rPr>
        <w:t xml:space="preserve">de </w:t>
      </w:r>
      <w:r w:rsidR="005F4EFC" w:rsidRPr="00046E42">
        <w:rPr>
          <w:rStyle w:val="s14"/>
          <w:rFonts w:ascii="Georgia" w:eastAsia="Times New Roman" w:hAnsi="Georgia"/>
          <w:b/>
          <w:lang w:val="fr-FR"/>
        </w:rPr>
        <w:t>l’</w:t>
      </w:r>
      <w:r w:rsidR="00532242" w:rsidRPr="00046E42">
        <w:rPr>
          <w:rStyle w:val="s14"/>
          <w:rFonts w:ascii="Georgia" w:eastAsia="Times New Roman" w:hAnsi="Georgia"/>
          <w:b/>
          <w:lang w:val="fr-FR"/>
        </w:rPr>
        <w:t>Europe</w:t>
      </w:r>
      <w:r w:rsidR="005F4EFC" w:rsidRPr="00046E42">
        <w:rPr>
          <w:rStyle w:val="s14"/>
          <w:rFonts w:ascii="Georgia" w:eastAsia="Times New Roman" w:hAnsi="Georgia"/>
          <w:b/>
          <w:lang w:val="fr-FR"/>
        </w:rPr>
        <w:t xml:space="preserve"> centrale et orientale</w:t>
      </w:r>
      <w:r w:rsidR="00D94B6F">
        <w:rPr>
          <w:rStyle w:val="s14"/>
          <w:rFonts w:ascii="Georgia" w:eastAsia="Times New Roman" w:hAnsi="Georgia"/>
          <w:lang w:val="fr-FR"/>
        </w:rPr>
        <w:t xml:space="preserve"> va s’élever à 7% en 2013, celle</w:t>
      </w:r>
      <w:r w:rsidR="005F4EFC">
        <w:rPr>
          <w:rStyle w:val="s14"/>
          <w:rFonts w:ascii="Georgia" w:eastAsia="Times New Roman" w:hAnsi="Georgia"/>
          <w:lang w:val="fr-FR"/>
        </w:rPr>
        <w:t xml:space="preserve"> de l’Amérique latine à 11,9% et de l’Asie-Pacifique à 4,8%. </w:t>
      </w:r>
      <w:r>
        <w:rPr>
          <w:rStyle w:val="s14"/>
          <w:rFonts w:ascii="Georgia" w:eastAsia="Times New Roman" w:hAnsi="Georgia"/>
          <w:lang w:val="fr-FR"/>
        </w:rPr>
        <w:t>D</w:t>
      </w:r>
      <w:r w:rsidR="005F4EFC">
        <w:rPr>
          <w:rStyle w:val="s14"/>
          <w:rFonts w:ascii="Georgia" w:eastAsia="Times New Roman" w:hAnsi="Georgia"/>
          <w:lang w:val="fr-FR"/>
        </w:rPr>
        <w:t xml:space="preserve">eux des cinq pays BRICS (Chine et Inde) verront leur croissance publicitaire ralentir à 1 chiffre en 2012. Cependant, nous nous attendons à ce que la Chine et l’Inde </w:t>
      </w:r>
      <w:r>
        <w:rPr>
          <w:rStyle w:val="s14"/>
          <w:rFonts w:ascii="Georgia" w:eastAsia="Times New Roman" w:hAnsi="Georgia"/>
          <w:lang w:val="fr-FR"/>
        </w:rPr>
        <w:t>retournent vers</w:t>
      </w:r>
      <w:r w:rsidR="005F4EFC">
        <w:rPr>
          <w:rStyle w:val="s14"/>
          <w:rFonts w:ascii="Georgia" w:eastAsia="Times New Roman" w:hAnsi="Georgia"/>
          <w:lang w:val="fr-FR"/>
        </w:rPr>
        <w:t xml:space="preserve"> une croissance à deux chiffres d’ici 2013-2014, </w:t>
      </w:r>
      <w:r>
        <w:rPr>
          <w:rStyle w:val="s14"/>
          <w:rFonts w:ascii="Georgia" w:eastAsia="Times New Roman" w:hAnsi="Georgia"/>
          <w:lang w:val="fr-FR"/>
        </w:rPr>
        <w:t>tandis que la croissance en Russie reste solide. L</w:t>
      </w:r>
      <w:r w:rsidR="005F4EFC">
        <w:rPr>
          <w:rStyle w:val="s14"/>
          <w:rFonts w:ascii="Georgia" w:eastAsia="Times New Roman" w:hAnsi="Georgia"/>
          <w:lang w:val="fr-FR"/>
        </w:rPr>
        <w:t xml:space="preserve">e Brésil commencera à </w:t>
      </w:r>
      <w:r w:rsidR="00A74A17">
        <w:rPr>
          <w:rStyle w:val="s14"/>
          <w:rFonts w:ascii="Georgia" w:eastAsia="Times New Roman" w:hAnsi="Georgia"/>
          <w:lang w:val="fr-FR"/>
        </w:rPr>
        <w:t>profiter</w:t>
      </w:r>
      <w:r w:rsidR="005F4EFC">
        <w:rPr>
          <w:rStyle w:val="s14"/>
          <w:rFonts w:ascii="Georgia" w:eastAsia="Times New Roman" w:hAnsi="Georgia"/>
          <w:lang w:val="fr-FR"/>
        </w:rPr>
        <w:t xml:space="preserve"> </w:t>
      </w:r>
      <w:r>
        <w:rPr>
          <w:rStyle w:val="s14"/>
          <w:rFonts w:ascii="Georgia" w:eastAsia="Times New Roman" w:hAnsi="Georgia"/>
          <w:lang w:val="fr-FR"/>
        </w:rPr>
        <w:t>dès</w:t>
      </w:r>
      <w:r w:rsidR="005F4EFC">
        <w:rPr>
          <w:rStyle w:val="s14"/>
          <w:rFonts w:ascii="Georgia" w:eastAsia="Times New Roman" w:hAnsi="Georgia"/>
          <w:lang w:val="fr-FR"/>
        </w:rPr>
        <w:t xml:space="preserve"> 2013 des effets </w:t>
      </w:r>
      <w:r>
        <w:rPr>
          <w:rStyle w:val="s14"/>
          <w:rFonts w:ascii="Georgia" w:eastAsia="Times New Roman" w:hAnsi="Georgia"/>
          <w:lang w:val="fr-FR"/>
        </w:rPr>
        <w:t xml:space="preserve">publicitaires </w:t>
      </w:r>
      <w:r w:rsidR="005F4EFC">
        <w:rPr>
          <w:rStyle w:val="s14"/>
          <w:rFonts w:ascii="Georgia" w:eastAsia="Times New Roman" w:hAnsi="Georgia"/>
          <w:lang w:val="fr-FR"/>
        </w:rPr>
        <w:t>de la Coupe du Monde de Football 2014.</w:t>
      </w:r>
    </w:p>
    <w:p w14:paraId="2445C575" w14:textId="77777777" w:rsidR="00E50EE3" w:rsidRPr="00B54FAB" w:rsidRDefault="00E50EE3" w:rsidP="00E50EE3">
      <w:pPr>
        <w:pStyle w:val="s15"/>
        <w:spacing w:before="0" w:beforeAutospacing="0" w:after="0" w:afterAutospacing="0"/>
        <w:rPr>
          <w:rFonts w:ascii="Georgia" w:hAnsi="Georgia"/>
          <w:color w:val="BFBFBF" w:themeColor="background1" w:themeShade="BF"/>
          <w:lang w:val="fr-FR"/>
        </w:rPr>
      </w:pPr>
    </w:p>
    <w:p w14:paraId="20072E7D" w14:textId="77777777" w:rsidR="00FD660D" w:rsidRDefault="00FD660D" w:rsidP="004E62A7">
      <w:pPr>
        <w:pStyle w:val="Titre1"/>
        <w:rPr>
          <w:rStyle w:val="s6"/>
          <w:lang w:val="fr-FR"/>
        </w:rPr>
      </w:pPr>
    </w:p>
    <w:p w14:paraId="120CB122" w14:textId="2F0D2751" w:rsidR="00D542EF" w:rsidRPr="00FD660D" w:rsidRDefault="006C4D00" w:rsidP="004E62A7">
      <w:pPr>
        <w:pStyle w:val="Titre1"/>
        <w:rPr>
          <w:rStyle w:val="s6"/>
          <w:smallCaps/>
          <w:u w:val="single"/>
          <w:lang w:val="fr-FR"/>
        </w:rPr>
      </w:pPr>
      <w:r w:rsidRPr="00FD660D">
        <w:rPr>
          <w:rStyle w:val="s6"/>
          <w:smallCaps/>
          <w:u w:val="single"/>
          <w:lang w:val="fr-FR"/>
        </w:rPr>
        <w:t xml:space="preserve">2012: </w:t>
      </w:r>
      <w:r w:rsidR="00D542EF" w:rsidRPr="00FD660D">
        <w:rPr>
          <w:rStyle w:val="s6"/>
          <w:smallCaps/>
          <w:u w:val="single"/>
          <w:lang w:val="fr-FR"/>
        </w:rPr>
        <w:t>les recettes publicitaires ont augmenté de plus de 3,8%</w:t>
      </w:r>
    </w:p>
    <w:p w14:paraId="6C3C52EE" w14:textId="26AA2319" w:rsidR="00E50EE3" w:rsidRPr="00D542EF" w:rsidRDefault="00E50EE3" w:rsidP="00E50EE3">
      <w:pPr>
        <w:pStyle w:val="s15"/>
        <w:spacing w:before="0" w:beforeAutospacing="0" w:after="0" w:afterAutospacing="0"/>
        <w:rPr>
          <w:rFonts w:ascii="Georgia" w:hAnsi="Georgia"/>
          <w:lang w:val="fr-FR"/>
        </w:rPr>
      </w:pPr>
    </w:p>
    <w:p w14:paraId="6811334C" w14:textId="75283472" w:rsidR="00D542EF" w:rsidRDefault="00D542EF" w:rsidP="00F96D41">
      <w:pPr>
        <w:pStyle w:val="s15"/>
        <w:spacing w:before="0" w:beforeAutospacing="0" w:after="0" w:afterAutospacing="0"/>
        <w:jc w:val="both"/>
        <w:rPr>
          <w:rStyle w:val="s14"/>
          <w:rFonts w:ascii="Georgia" w:hAnsi="Georgia"/>
          <w:lang w:val="fr-FR"/>
        </w:rPr>
      </w:pPr>
      <w:r>
        <w:rPr>
          <w:rStyle w:val="s14"/>
          <w:rFonts w:ascii="Georgia" w:hAnsi="Georgia"/>
          <w:lang w:val="fr-FR"/>
        </w:rPr>
        <w:lastRenderedPageBreak/>
        <w:t xml:space="preserve">En 2012, les </w:t>
      </w:r>
      <w:r w:rsidR="00EA6FF5">
        <w:rPr>
          <w:rStyle w:val="s14"/>
          <w:rFonts w:ascii="Georgia" w:hAnsi="Georgia"/>
          <w:lang w:val="fr-FR"/>
        </w:rPr>
        <w:t>entreprises</w:t>
      </w:r>
      <w:r>
        <w:rPr>
          <w:rStyle w:val="s14"/>
          <w:rFonts w:ascii="Georgia" w:hAnsi="Georgia"/>
          <w:lang w:val="fr-FR"/>
        </w:rPr>
        <w:t xml:space="preserve"> de médias du monde entier ont vu leurs recettes publicitaires augmenter de </w:t>
      </w:r>
      <w:r w:rsidR="00EA6FF5">
        <w:rPr>
          <w:rStyle w:val="s14"/>
          <w:rFonts w:ascii="Georgia" w:hAnsi="Georgia"/>
          <w:lang w:val="fr-FR"/>
        </w:rPr>
        <w:t>+</w:t>
      </w:r>
      <w:r>
        <w:rPr>
          <w:rStyle w:val="s14"/>
          <w:rFonts w:ascii="Georgia" w:hAnsi="Georgia"/>
          <w:lang w:val="fr-FR"/>
        </w:rPr>
        <w:t xml:space="preserve">3,8%, soit un total de </w:t>
      </w:r>
      <w:r w:rsidR="00EA6FF5">
        <w:rPr>
          <w:rStyle w:val="s14"/>
          <w:rFonts w:ascii="Georgia" w:hAnsi="Georgia"/>
          <w:lang w:val="fr-FR"/>
        </w:rPr>
        <w:t>480</w:t>
      </w:r>
      <w:r>
        <w:rPr>
          <w:rStyle w:val="s14"/>
          <w:rFonts w:ascii="Georgia" w:hAnsi="Georgia"/>
          <w:lang w:val="fr-FR"/>
        </w:rPr>
        <w:t xml:space="preserve"> milliards de dollars (USD). Cette nouvelle estimation est légèrement plus faible (-1%) que notre précédente prévision en juin 2012, </w:t>
      </w:r>
      <w:r w:rsidR="00EA6FF5">
        <w:rPr>
          <w:rStyle w:val="s14"/>
          <w:rFonts w:ascii="Georgia" w:hAnsi="Georgia"/>
          <w:lang w:val="fr-FR"/>
        </w:rPr>
        <w:t>en raison de</w:t>
      </w:r>
      <w:r>
        <w:rPr>
          <w:rStyle w:val="s14"/>
          <w:rFonts w:ascii="Georgia" w:hAnsi="Georgia"/>
          <w:lang w:val="fr-FR"/>
        </w:rPr>
        <w:t xml:space="preserve"> la baisse </w:t>
      </w:r>
      <w:r w:rsidR="00EA6FF5">
        <w:rPr>
          <w:rStyle w:val="s14"/>
          <w:rFonts w:ascii="Georgia" w:hAnsi="Georgia"/>
          <w:lang w:val="fr-FR"/>
        </w:rPr>
        <w:t xml:space="preserve">plus forte que prévu en </w:t>
      </w:r>
      <w:r>
        <w:rPr>
          <w:rStyle w:val="s14"/>
          <w:rFonts w:ascii="Georgia" w:hAnsi="Georgia"/>
          <w:lang w:val="fr-FR"/>
        </w:rPr>
        <w:t xml:space="preserve">Europe occidentale (de -0,2% à – 2,8%). </w:t>
      </w:r>
    </w:p>
    <w:p w14:paraId="3CFAF158" w14:textId="77777777" w:rsidR="00D542EF" w:rsidRDefault="00D542EF" w:rsidP="00F96D41">
      <w:pPr>
        <w:pStyle w:val="s15"/>
        <w:spacing w:before="0" w:beforeAutospacing="0" w:after="0" w:afterAutospacing="0"/>
        <w:jc w:val="both"/>
        <w:rPr>
          <w:rStyle w:val="s14"/>
          <w:rFonts w:ascii="Georgia" w:hAnsi="Georgia"/>
          <w:lang w:val="fr-FR"/>
        </w:rPr>
      </w:pPr>
    </w:p>
    <w:p w14:paraId="020989C6" w14:textId="4ED2B48A" w:rsidR="00D542EF" w:rsidRDefault="00D542EF" w:rsidP="00F96D41">
      <w:pPr>
        <w:pStyle w:val="s15"/>
        <w:spacing w:before="0" w:beforeAutospacing="0" w:after="0" w:afterAutospacing="0"/>
        <w:jc w:val="both"/>
        <w:rPr>
          <w:rStyle w:val="s14"/>
          <w:rFonts w:ascii="Georgia" w:hAnsi="Georgia"/>
          <w:lang w:val="fr-FR"/>
        </w:rPr>
      </w:pPr>
      <w:r>
        <w:rPr>
          <w:rStyle w:val="s14"/>
          <w:rFonts w:ascii="Georgia" w:hAnsi="Georgia"/>
          <w:lang w:val="fr-FR"/>
        </w:rPr>
        <w:t>Comme Magna Global l’avait prédit en juin</w:t>
      </w:r>
      <w:r w:rsidR="00EA6FF5">
        <w:rPr>
          <w:rStyle w:val="s14"/>
          <w:rFonts w:ascii="Georgia" w:hAnsi="Georgia"/>
          <w:lang w:val="fr-FR"/>
        </w:rPr>
        <w:t xml:space="preserve"> dernier</w:t>
      </w:r>
      <w:r>
        <w:rPr>
          <w:rStyle w:val="s14"/>
          <w:rFonts w:ascii="Georgia" w:hAnsi="Georgia"/>
          <w:lang w:val="fr-FR"/>
        </w:rPr>
        <w:t xml:space="preserve">, toute l’Europe méridionale a </w:t>
      </w:r>
      <w:r w:rsidR="005E1004">
        <w:rPr>
          <w:rStyle w:val="s14"/>
          <w:rFonts w:ascii="Georgia" w:hAnsi="Georgia"/>
          <w:lang w:val="fr-FR"/>
        </w:rPr>
        <w:t xml:space="preserve">enregistré des </w:t>
      </w:r>
      <w:r w:rsidR="00EA6FF5">
        <w:rPr>
          <w:rStyle w:val="s14"/>
          <w:rFonts w:ascii="Georgia" w:hAnsi="Georgia"/>
          <w:lang w:val="fr-FR"/>
        </w:rPr>
        <w:t>baisses brutales</w:t>
      </w:r>
      <w:r w:rsidR="005E1004">
        <w:rPr>
          <w:rStyle w:val="s14"/>
          <w:rFonts w:ascii="Georgia" w:hAnsi="Georgia"/>
          <w:lang w:val="fr-FR"/>
        </w:rPr>
        <w:t xml:space="preserve"> cette année : Grèce, Espagne, Portugal, France et Italie. Le taux de </w:t>
      </w:r>
      <w:r w:rsidR="00EA6FF5">
        <w:rPr>
          <w:rStyle w:val="s14"/>
          <w:rFonts w:ascii="Georgia" w:hAnsi="Georgia"/>
          <w:lang w:val="fr-FR"/>
        </w:rPr>
        <w:t>déclin</w:t>
      </w:r>
      <w:r w:rsidR="005E1004">
        <w:rPr>
          <w:rStyle w:val="s14"/>
          <w:rFonts w:ascii="Georgia" w:hAnsi="Georgia"/>
          <w:lang w:val="fr-FR"/>
        </w:rPr>
        <w:t xml:space="preserve"> </w:t>
      </w:r>
      <w:r w:rsidR="00EA6FF5">
        <w:rPr>
          <w:rStyle w:val="s14"/>
          <w:rFonts w:ascii="Georgia" w:hAnsi="Georgia"/>
          <w:lang w:val="fr-FR"/>
        </w:rPr>
        <w:t>va</w:t>
      </w:r>
      <w:r w:rsidR="005E1004">
        <w:rPr>
          <w:rStyle w:val="s14"/>
          <w:rFonts w:ascii="Georgia" w:hAnsi="Georgia"/>
          <w:lang w:val="fr-FR"/>
        </w:rPr>
        <w:t xml:space="preserve"> d’une </w:t>
      </w:r>
      <w:r w:rsidR="00EA6FF5">
        <w:rPr>
          <w:rStyle w:val="s14"/>
          <w:rFonts w:ascii="Georgia" w:hAnsi="Georgia"/>
          <w:lang w:val="fr-FR"/>
        </w:rPr>
        <w:t>légère</w:t>
      </w:r>
      <w:r w:rsidR="005E1004">
        <w:rPr>
          <w:rStyle w:val="s14"/>
          <w:rFonts w:ascii="Georgia" w:hAnsi="Georgia"/>
          <w:lang w:val="fr-FR"/>
        </w:rPr>
        <w:t xml:space="preserve"> baisse en France</w:t>
      </w:r>
      <w:r w:rsidR="00A74A17">
        <w:rPr>
          <w:rStyle w:val="s14"/>
          <w:rFonts w:ascii="Georgia" w:hAnsi="Georgia"/>
          <w:lang w:val="fr-FR"/>
        </w:rPr>
        <w:t xml:space="preserve"> (-2,5%) à un </w:t>
      </w:r>
      <w:r w:rsidR="005E1004">
        <w:rPr>
          <w:rStyle w:val="s14"/>
          <w:rFonts w:ascii="Georgia" w:hAnsi="Georgia"/>
          <w:lang w:val="fr-FR"/>
        </w:rPr>
        <w:t>effondrement à deux chiffres en Italie, en Espagne, et</w:t>
      </w:r>
      <w:r w:rsidR="00A74A17">
        <w:rPr>
          <w:rStyle w:val="s14"/>
          <w:rFonts w:ascii="Georgia" w:hAnsi="Georgia"/>
          <w:lang w:val="fr-FR"/>
        </w:rPr>
        <w:t xml:space="preserve"> bien évidemment, en Grèce (</w:t>
      </w:r>
      <w:r w:rsidR="005E1004">
        <w:rPr>
          <w:rStyle w:val="s14"/>
          <w:rFonts w:ascii="Georgia" w:hAnsi="Georgia"/>
          <w:lang w:val="fr-FR"/>
        </w:rPr>
        <w:t>-28%</w:t>
      </w:r>
      <w:r w:rsidR="00A74A17">
        <w:rPr>
          <w:rStyle w:val="s14"/>
          <w:rFonts w:ascii="Georgia" w:hAnsi="Georgia"/>
          <w:lang w:val="fr-FR"/>
        </w:rPr>
        <w:t>)</w:t>
      </w:r>
      <w:r w:rsidR="005E1004">
        <w:rPr>
          <w:rStyle w:val="s14"/>
          <w:rFonts w:ascii="Georgia" w:hAnsi="Georgia"/>
          <w:lang w:val="fr-FR"/>
        </w:rPr>
        <w:t xml:space="preserve">. D’autres marchés en Europe de l’Ouest et du Nord ont </w:t>
      </w:r>
      <w:r w:rsidR="00EA6FF5">
        <w:rPr>
          <w:rStyle w:val="s14"/>
          <w:rFonts w:ascii="Georgia" w:hAnsi="Georgia"/>
          <w:lang w:val="fr-FR"/>
        </w:rPr>
        <w:t>également chuté</w:t>
      </w:r>
      <w:r w:rsidR="005E1004">
        <w:rPr>
          <w:rStyle w:val="s14"/>
          <w:rFonts w:ascii="Georgia" w:hAnsi="Georgia"/>
          <w:lang w:val="fr-FR"/>
        </w:rPr>
        <w:t xml:space="preserve"> (Belgique, Pays-Bas, Danemark, Finlande). </w:t>
      </w:r>
      <w:r w:rsidR="00EA6FF5">
        <w:rPr>
          <w:rStyle w:val="s14"/>
          <w:rFonts w:ascii="Georgia" w:hAnsi="Georgia"/>
          <w:lang w:val="fr-FR"/>
        </w:rPr>
        <w:t>Contrairement au reste de la région, l</w:t>
      </w:r>
      <w:r w:rsidR="005E1004">
        <w:rPr>
          <w:rStyle w:val="s14"/>
          <w:rFonts w:ascii="Georgia" w:hAnsi="Georgia"/>
          <w:lang w:val="fr-FR"/>
        </w:rPr>
        <w:t>es deux plus gros marchés</w:t>
      </w:r>
      <w:r w:rsidR="00EA6FF5">
        <w:rPr>
          <w:rStyle w:val="s14"/>
          <w:rFonts w:ascii="Georgia" w:hAnsi="Georgia"/>
          <w:lang w:val="fr-FR"/>
        </w:rPr>
        <w:t xml:space="preserve"> européens</w:t>
      </w:r>
      <w:r w:rsidR="005E1004">
        <w:rPr>
          <w:rStyle w:val="s14"/>
          <w:rFonts w:ascii="Georgia" w:hAnsi="Georgia"/>
          <w:lang w:val="fr-FR"/>
        </w:rPr>
        <w:t>, l’Allemagne et le Royaume-Uni, sont p</w:t>
      </w:r>
      <w:r w:rsidR="00A74A17">
        <w:rPr>
          <w:rStyle w:val="s14"/>
          <w:rFonts w:ascii="Georgia" w:hAnsi="Georgia"/>
          <w:lang w:val="fr-FR"/>
        </w:rPr>
        <w:t xml:space="preserve">arvenus à </w:t>
      </w:r>
      <w:r w:rsidR="00EA6FF5">
        <w:rPr>
          <w:rStyle w:val="s14"/>
          <w:rFonts w:ascii="Georgia" w:hAnsi="Georgia"/>
          <w:lang w:val="fr-FR"/>
        </w:rPr>
        <w:t>croitre</w:t>
      </w:r>
      <w:r w:rsidR="00A74A17">
        <w:rPr>
          <w:rStyle w:val="s14"/>
          <w:rFonts w:ascii="Georgia" w:hAnsi="Georgia"/>
          <w:lang w:val="fr-FR"/>
        </w:rPr>
        <w:t xml:space="preserve">, comme nous </w:t>
      </w:r>
      <w:r w:rsidR="005E1004">
        <w:rPr>
          <w:rStyle w:val="s14"/>
          <w:rFonts w:ascii="Georgia" w:hAnsi="Georgia"/>
          <w:lang w:val="fr-FR"/>
        </w:rPr>
        <w:t xml:space="preserve">avions </w:t>
      </w:r>
      <w:r w:rsidR="00EA6FF5">
        <w:rPr>
          <w:rStyle w:val="s14"/>
          <w:rFonts w:ascii="Georgia" w:hAnsi="Georgia"/>
          <w:lang w:val="fr-FR"/>
        </w:rPr>
        <w:t>annoncé</w:t>
      </w:r>
      <w:r w:rsidR="005E1004">
        <w:rPr>
          <w:rStyle w:val="s14"/>
          <w:rFonts w:ascii="Georgia" w:hAnsi="Georgia"/>
          <w:lang w:val="fr-FR"/>
        </w:rPr>
        <w:t xml:space="preserve">, de 0,5% et 2,2% respectivement. En Europe centrale et orientale, </w:t>
      </w:r>
      <w:r w:rsidR="00E94F44">
        <w:rPr>
          <w:rStyle w:val="s14"/>
          <w:rFonts w:ascii="Georgia" w:hAnsi="Georgia"/>
          <w:lang w:val="fr-FR"/>
        </w:rPr>
        <w:t xml:space="preserve">la chute de </w:t>
      </w:r>
      <w:r w:rsidR="005E1004">
        <w:rPr>
          <w:rStyle w:val="s14"/>
          <w:rFonts w:ascii="Georgia" w:hAnsi="Georgia"/>
          <w:lang w:val="fr-FR"/>
        </w:rPr>
        <w:t>la</w:t>
      </w:r>
      <w:r w:rsidR="00EA6FF5">
        <w:rPr>
          <w:rStyle w:val="s14"/>
          <w:rFonts w:ascii="Georgia" w:hAnsi="Georgia"/>
          <w:lang w:val="fr-FR"/>
        </w:rPr>
        <w:t xml:space="preserve"> plupart des marchés</w:t>
      </w:r>
      <w:r w:rsidR="00CE0192">
        <w:rPr>
          <w:rStyle w:val="s14"/>
          <w:rFonts w:ascii="Georgia" w:hAnsi="Georgia"/>
          <w:lang w:val="fr-FR"/>
        </w:rPr>
        <w:t xml:space="preserve"> </w:t>
      </w:r>
      <w:r w:rsidR="00EA6FF5">
        <w:rPr>
          <w:rStyle w:val="s14"/>
          <w:rFonts w:ascii="Georgia" w:hAnsi="Georgia"/>
          <w:lang w:val="fr-FR"/>
        </w:rPr>
        <w:t>(</w:t>
      </w:r>
      <w:r w:rsidR="00CE0192">
        <w:rPr>
          <w:rStyle w:val="s14"/>
          <w:rFonts w:ascii="Georgia" w:hAnsi="Georgia"/>
          <w:lang w:val="fr-FR"/>
        </w:rPr>
        <w:t xml:space="preserve">Hongrie, Croatie, Roumanie, Bulgarie, Pologne et République </w:t>
      </w:r>
      <w:r w:rsidR="00A74A17">
        <w:rPr>
          <w:rStyle w:val="s14"/>
          <w:rFonts w:ascii="Georgia" w:hAnsi="Georgia"/>
          <w:lang w:val="fr-FR"/>
        </w:rPr>
        <w:t>Tchèque</w:t>
      </w:r>
      <w:r w:rsidR="00EA6FF5">
        <w:rPr>
          <w:rStyle w:val="s14"/>
          <w:rFonts w:ascii="Georgia" w:hAnsi="Georgia"/>
          <w:lang w:val="fr-FR"/>
        </w:rPr>
        <w:t>)</w:t>
      </w:r>
      <w:r w:rsidR="00A74A17">
        <w:rPr>
          <w:rStyle w:val="s14"/>
          <w:rFonts w:ascii="Georgia" w:hAnsi="Georgia"/>
          <w:lang w:val="fr-FR"/>
        </w:rPr>
        <w:t>, a été compensée par une</w:t>
      </w:r>
      <w:r w:rsidR="00EA6FF5">
        <w:rPr>
          <w:rStyle w:val="s14"/>
          <w:rFonts w:ascii="Georgia" w:hAnsi="Georgia"/>
          <w:lang w:val="fr-FR"/>
        </w:rPr>
        <w:t xml:space="preserve"> forte</w:t>
      </w:r>
      <w:r w:rsidR="00E94F44">
        <w:rPr>
          <w:rStyle w:val="s14"/>
          <w:rFonts w:ascii="Georgia" w:hAnsi="Georgia"/>
          <w:lang w:val="fr-FR"/>
        </w:rPr>
        <w:t xml:space="preserve"> croissance</w:t>
      </w:r>
      <w:r w:rsidR="00A74A17">
        <w:rPr>
          <w:rStyle w:val="s14"/>
          <w:rFonts w:ascii="Georgia" w:hAnsi="Georgia"/>
          <w:lang w:val="fr-FR"/>
        </w:rPr>
        <w:t xml:space="preserve"> </w:t>
      </w:r>
      <w:r w:rsidR="00E94F44">
        <w:rPr>
          <w:rStyle w:val="s14"/>
          <w:rFonts w:ascii="Georgia" w:hAnsi="Georgia"/>
          <w:lang w:val="fr-FR"/>
        </w:rPr>
        <w:t>en Russie (+10,4%) et en Turquie (+8,4%)</w:t>
      </w:r>
      <w:r w:rsidR="00EA6FF5">
        <w:rPr>
          <w:rStyle w:val="s14"/>
          <w:rFonts w:ascii="Georgia" w:hAnsi="Georgia"/>
          <w:lang w:val="fr-FR"/>
        </w:rPr>
        <w:t> ;</w:t>
      </w:r>
      <w:r w:rsidR="00E94F44">
        <w:rPr>
          <w:rStyle w:val="s14"/>
          <w:rFonts w:ascii="Georgia" w:hAnsi="Georgia"/>
          <w:lang w:val="fr-FR"/>
        </w:rPr>
        <w:t xml:space="preserve"> En conséquence, les recettes publicitaires </w:t>
      </w:r>
      <w:r w:rsidR="00EA6FF5">
        <w:rPr>
          <w:rStyle w:val="s14"/>
          <w:rFonts w:ascii="Georgia" w:hAnsi="Georgia"/>
          <w:lang w:val="fr-FR"/>
        </w:rPr>
        <w:t>en Europe Orientale</w:t>
      </w:r>
      <w:r w:rsidR="00E94F44">
        <w:rPr>
          <w:rStyle w:val="s14"/>
          <w:rFonts w:ascii="Georgia" w:hAnsi="Georgia"/>
          <w:lang w:val="fr-FR"/>
        </w:rPr>
        <w:t xml:space="preserve"> ont augmenté de 5,5% en totalité.</w:t>
      </w:r>
    </w:p>
    <w:p w14:paraId="3F02FFD2" w14:textId="77777777" w:rsidR="00843DD8" w:rsidRDefault="00843DD8" w:rsidP="00F96D41">
      <w:pPr>
        <w:pStyle w:val="s15"/>
        <w:spacing w:before="0" w:beforeAutospacing="0" w:after="0" w:afterAutospacing="0"/>
        <w:jc w:val="both"/>
        <w:rPr>
          <w:rStyle w:val="s14"/>
          <w:rFonts w:ascii="Georgia" w:hAnsi="Georgia"/>
          <w:lang w:val="fr-FR"/>
        </w:rPr>
      </w:pPr>
    </w:p>
    <w:p w14:paraId="451B4BA8" w14:textId="1DDF9FBB" w:rsidR="00A74A17" w:rsidRDefault="00BB1521" w:rsidP="00F96D41">
      <w:pPr>
        <w:pStyle w:val="s15"/>
        <w:spacing w:before="0" w:beforeAutospacing="0" w:after="0" w:afterAutospacing="0"/>
        <w:jc w:val="both"/>
        <w:rPr>
          <w:rStyle w:val="s14"/>
          <w:rFonts w:ascii="Georgia" w:hAnsi="Georgia"/>
          <w:lang w:val="fr-FR"/>
        </w:rPr>
      </w:pPr>
      <w:r w:rsidRPr="00EA6FF5">
        <w:rPr>
          <w:rStyle w:val="s14"/>
          <w:rFonts w:ascii="Georgia" w:hAnsi="Georgia"/>
          <w:b/>
          <w:lang w:val="fr-FR"/>
        </w:rPr>
        <w:t>L’Amérique du Nord</w:t>
      </w:r>
      <w:r>
        <w:rPr>
          <w:rStyle w:val="s14"/>
          <w:rFonts w:ascii="Georgia" w:hAnsi="Georgia"/>
          <w:lang w:val="fr-FR"/>
        </w:rPr>
        <w:t xml:space="preserve"> était en </w:t>
      </w:r>
      <w:r w:rsidR="00843DD8">
        <w:rPr>
          <w:rStyle w:val="s14"/>
          <w:rFonts w:ascii="Georgia" w:hAnsi="Georgia"/>
          <w:lang w:val="fr-FR"/>
        </w:rPr>
        <w:t>meilleur</w:t>
      </w:r>
      <w:r>
        <w:rPr>
          <w:rStyle w:val="s14"/>
          <w:rFonts w:ascii="Georgia" w:hAnsi="Georgia"/>
          <w:lang w:val="fr-FR"/>
        </w:rPr>
        <w:t>e</w:t>
      </w:r>
      <w:r w:rsidR="00843DD8">
        <w:rPr>
          <w:rStyle w:val="s14"/>
          <w:rFonts w:ascii="Georgia" w:hAnsi="Georgia"/>
          <w:lang w:val="fr-FR"/>
        </w:rPr>
        <w:t xml:space="preserve"> forme que l’Europe cette année. Les médias aux Etats-Unis et au Canada ont vu leurs recettes publicitaires </w:t>
      </w:r>
      <w:r>
        <w:rPr>
          <w:rStyle w:val="s14"/>
          <w:rFonts w:ascii="Georgia" w:hAnsi="Georgia"/>
          <w:lang w:val="fr-FR"/>
        </w:rPr>
        <w:t>augmenter de plus de</w:t>
      </w:r>
      <w:r w:rsidR="00843DD8">
        <w:rPr>
          <w:rStyle w:val="s14"/>
          <w:rFonts w:ascii="Georgia" w:hAnsi="Georgia"/>
          <w:lang w:val="fr-FR"/>
        </w:rPr>
        <w:t xml:space="preserve"> </w:t>
      </w:r>
      <w:r w:rsidR="00EA6FF5">
        <w:rPr>
          <w:rStyle w:val="s14"/>
          <w:rFonts w:ascii="Georgia" w:hAnsi="Georgia"/>
          <w:lang w:val="fr-FR"/>
        </w:rPr>
        <w:t>+</w:t>
      </w:r>
      <w:r>
        <w:rPr>
          <w:rStyle w:val="s14"/>
          <w:rFonts w:ascii="Georgia" w:hAnsi="Georgia"/>
          <w:lang w:val="fr-FR"/>
        </w:rPr>
        <w:t xml:space="preserve">4,2%. Les </w:t>
      </w:r>
      <w:r w:rsidR="00EA6FF5">
        <w:rPr>
          <w:rStyle w:val="s14"/>
          <w:rFonts w:ascii="Georgia" w:hAnsi="Georgia"/>
          <w:lang w:val="fr-FR"/>
        </w:rPr>
        <w:t>investissements</w:t>
      </w:r>
      <w:r w:rsidR="00843DD8">
        <w:rPr>
          <w:rStyle w:val="s14"/>
          <w:rFonts w:ascii="Georgia" w:hAnsi="Georgia"/>
          <w:lang w:val="fr-FR"/>
        </w:rPr>
        <w:t xml:space="preserve"> publicitaires aux Etats-Unis </w:t>
      </w:r>
      <w:r w:rsidR="00EA6FF5">
        <w:rPr>
          <w:rStyle w:val="s14"/>
          <w:rFonts w:ascii="Georgia" w:hAnsi="Georgia"/>
          <w:lang w:val="fr-FR"/>
        </w:rPr>
        <w:t>ont augmenté de</w:t>
      </w:r>
      <w:r w:rsidR="00843DD8">
        <w:rPr>
          <w:rStyle w:val="s14"/>
          <w:rFonts w:ascii="Georgia" w:hAnsi="Georgia"/>
          <w:lang w:val="fr-FR"/>
        </w:rPr>
        <w:t xml:space="preserve"> </w:t>
      </w:r>
      <w:r w:rsidR="00EA6FF5">
        <w:rPr>
          <w:rStyle w:val="s14"/>
          <w:rFonts w:ascii="Georgia" w:hAnsi="Georgia"/>
          <w:lang w:val="fr-FR"/>
        </w:rPr>
        <w:t>+</w:t>
      </w:r>
      <w:r w:rsidR="00843DD8">
        <w:rPr>
          <w:rStyle w:val="s14"/>
          <w:rFonts w:ascii="Georgia" w:hAnsi="Georgia"/>
          <w:lang w:val="fr-FR"/>
        </w:rPr>
        <w:t xml:space="preserve">4,0% mais </w:t>
      </w:r>
      <w:r>
        <w:rPr>
          <w:rStyle w:val="s14"/>
          <w:rFonts w:ascii="Georgia" w:hAnsi="Georgia"/>
          <w:lang w:val="fr-FR"/>
        </w:rPr>
        <w:t>cette</w:t>
      </w:r>
      <w:r w:rsidR="00843DD8">
        <w:rPr>
          <w:rStyle w:val="s14"/>
          <w:rFonts w:ascii="Georgia" w:hAnsi="Georgia"/>
          <w:lang w:val="fr-FR"/>
        </w:rPr>
        <w:t xml:space="preserve"> croissance est</w:t>
      </w:r>
      <w:r>
        <w:rPr>
          <w:rStyle w:val="s14"/>
          <w:rFonts w:ascii="Georgia" w:hAnsi="Georgia"/>
          <w:lang w:val="fr-FR"/>
        </w:rPr>
        <w:t xml:space="preserve"> </w:t>
      </w:r>
      <w:r w:rsidR="00EA6FF5">
        <w:rPr>
          <w:rStyle w:val="s14"/>
          <w:rFonts w:ascii="Georgia" w:hAnsi="Georgia"/>
          <w:lang w:val="fr-FR"/>
        </w:rPr>
        <w:t>pour</w:t>
      </w:r>
      <w:r>
        <w:rPr>
          <w:rStyle w:val="s14"/>
          <w:rFonts w:ascii="Georgia" w:hAnsi="Georgia"/>
          <w:lang w:val="fr-FR"/>
        </w:rPr>
        <w:t xml:space="preserve"> moitié due</w:t>
      </w:r>
      <w:r w:rsidR="00843DD8">
        <w:rPr>
          <w:rStyle w:val="s14"/>
          <w:rFonts w:ascii="Georgia" w:hAnsi="Georgia"/>
          <w:lang w:val="fr-FR"/>
        </w:rPr>
        <w:t xml:space="preserve"> </w:t>
      </w:r>
      <w:r w:rsidR="00EA6FF5">
        <w:rPr>
          <w:rStyle w:val="s14"/>
          <w:rFonts w:ascii="Georgia" w:hAnsi="Georgia"/>
          <w:lang w:val="fr-FR"/>
        </w:rPr>
        <w:t xml:space="preserve">à l’explosion de la publicité politique à la télévision (campagne présidentielle, mais aussi sénatoriales et locales) et </w:t>
      </w:r>
      <w:r w:rsidR="00843DD8">
        <w:rPr>
          <w:rStyle w:val="s14"/>
          <w:rFonts w:ascii="Georgia" w:hAnsi="Georgia"/>
          <w:lang w:val="fr-FR"/>
        </w:rPr>
        <w:t xml:space="preserve">aux dépenses </w:t>
      </w:r>
      <w:r w:rsidR="00EA6FF5">
        <w:rPr>
          <w:rStyle w:val="s14"/>
          <w:rFonts w:ascii="Georgia" w:hAnsi="Georgia"/>
          <w:lang w:val="fr-FR"/>
        </w:rPr>
        <w:t>des sponsors</w:t>
      </w:r>
      <w:r w:rsidR="00843DD8">
        <w:rPr>
          <w:rStyle w:val="s14"/>
          <w:rFonts w:ascii="Georgia" w:hAnsi="Georgia"/>
          <w:lang w:val="fr-FR"/>
        </w:rPr>
        <w:t xml:space="preserve"> Olympiques, </w:t>
      </w:r>
      <w:r w:rsidR="00025016">
        <w:rPr>
          <w:rStyle w:val="s14"/>
          <w:rFonts w:ascii="Georgia" w:hAnsi="Georgia"/>
          <w:lang w:val="fr-FR"/>
        </w:rPr>
        <w:t xml:space="preserve">alors que la demande sous-jacente est devenue plus faible au second semestre. </w:t>
      </w:r>
      <w:r w:rsidR="00A74A17">
        <w:rPr>
          <w:rStyle w:val="s14"/>
          <w:rFonts w:ascii="Georgia" w:hAnsi="Georgia"/>
          <w:lang w:val="fr-FR"/>
        </w:rPr>
        <w:t xml:space="preserve">Les recettes publicitaires en </w:t>
      </w:r>
      <w:r w:rsidR="00A74A17" w:rsidRPr="00EA6FF5">
        <w:rPr>
          <w:rStyle w:val="s14"/>
          <w:rFonts w:ascii="Georgia" w:hAnsi="Georgia"/>
          <w:b/>
          <w:lang w:val="fr-FR"/>
        </w:rPr>
        <w:t>Asie-Pacifique</w:t>
      </w:r>
      <w:r w:rsidR="00A74A17">
        <w:rPr>
          <w:rStyle w:val="s14"/>
          <w:rFonts w:ascii="Georgia" w:hAnsi="Georgia"/>
          <w:lang w:val="fr-FR"/>
        </w:rPr>
        <w:t xml:space="preserve"> ont grimpé de </w:t>
      </w:r>
      <w:r w:rsidR="00EA6FF5">
        <w:rPr>
          <w:rStyle w:val="s14"/>
          <w:rFonts w:ascii="Georgia" w:hAnsi="Georgia"/>
          <w:lang w:val="fr-FR"/>
        </w:rPr>
        <w:t>+</w:t>
      </w:r>
      <w:r w:rsidR="00A74A17">
        <w:rPr>
          <w:rStyle w:val="s14"/>
          <w:rFonts w:ascii="Georgia" w:hAnsi="Georgia"/>
          <w:lang w:val="fr-FR"/>
        </w:rPr>
        <w:t>5,5%. La croissance dans les pays asiatiques émergents a ralenti par rapport</w:t>
      </w:r>
      <w:r w:rsidR="00E13365">
        <w:rPr>
          <w:rStyle w:val="s14"/>
          <w:rFonts w:ascii="Georgia" w:hAnsi="Georgia"/>
          <w:lang w:val="fr-FR"/>
        </w:rPr>
        <w:t xml:space="preserve"> aux</w:t>
      </w:r>
      <w:r w:rsidR="00A74A17">
        <w:rPr>
          <w:rStyle w:val="s14"/>
          <w:rFonts w:ascii="Georgia" w:hAnsi="Georgia"/>
          <w:lang w:val="fr-FR"/>
        </w:rPr>
        <w:t xml:space="preserve"> années précédentes (notamment en C</w:t>
      </w:r>
      <w:r w:rsidR="00E13365">
        <w:rPr>
          <w:rStyle w:val="s14"/>
          <w:rFonts w:ascii="Georgia" w:hAnsi="Georgia"/>
          <w:lang w:val="fr-FR"/>
        </w:rPr>
        <w:t xml:space="preserve">hine, </w:t>
      </w:r>
      <w:r w:rsidR="00EA6FF5">
        <w:rPr>
          <w:rStyle w:val="s14"/>
          <w:rFonts w:ascii="Georgia" w:hAnsi="Georgia"/>
          <w:lang w:val="fr-FR"/>
        </w:rPr>
        <w:t>+</w:t>
      </w:r>
      <w:r w:rsidR="00E13365">
        <w:rPr>
          <w:rStyle w:val="s14"/>
          <w:rFonts w:ascii="Georgia" w:hAnsi="Georgia"/>
          <w:lang w:val="fr-FR"/>
        </w:rPr>
        <w:t xml:space="preserve">9.2%, et Inde, </w:t>
      </w:r>
      <w:r w:rsidR="00EA6FF5">
        <w:rPr>
          <w:rStyle w:val="s14"/>
          <w:rFonts w:ascii="Georgia" w:hAnsi="Georgia"/>
          <w:lang w:val="fr-FR"/>
        </w:rPr>
        <w:t>+</w:t>
      </w:r>
      <w:r w:rsidR="00E13365">
        <w:rPr>
          <w:rStyle w:val="s14"/>
          <w:rFonts w:ascii="Georgia" w:hAnsi="Georgia"/>
          <w:lang w:val="fr-FR"/>
        </w:rPr>
        <w:t xml:space="preserve">2,6%). Après quatre années consécutives de déclin, </w:t>
      </w:r>
      <w:r w:rsidR="00EA6FF5">
        <w:rPr>
          <w:rStyle w:val="s14"/>
          <w:rFonts w:ascii="Georgia" w:hAnsi="Georgia"/>
          <w:lang w:val="fr-FR"/>
        </w:rPr>
        <w:t>aggravé par l’impact du</w:t>
      </w:r>
      <w:r w:rsidR="00E13365">
        <w:rPr>
          <w:rStyle w:val="s14"/>
          <w:rFonts w:ascii="Georgia" w:hAnsi="Georgia"/>
          <w:lang w:val="fr-FR"/>
        </w:rPr>
        <w:t xml:space="preserve"> tsunami</w:t>
      </w:r>
      <w:r w:rsidR="00EA6FF5">
        <w:rPr>
          <w:rStyle w:val="s14"/>
          <w:rFonts w:ascii="Georgia" w:hAnsi="Georgia"/>
          <w:lang w:val="fr-FR"/>
        </w:rPr>
        <w:t xml:space="preserve"> de 2011</w:t>
      </w:r>
      <w:r w:rsidR="00E13365">
        <w:rPr>
          <w:rStyle w:val="s14"/>
          <w:rFonts w:ascii="Georgia" w:hAnsi="Georgia"/>
          <w:lang w:val="fr-FR"/>
        </w:rPr>
        <w:t xml:space="preserve">, le </w:t>
      </w:r>
      <w:r w:rsidR="00EA6FF5">
        <w:rPr>
          <w:rStyle w:val="s14"/>
          <w:rFonts w:ascii="Georgia" w:hAnsi="Georgia"/>
          <w:lang w:val="fr-FR"/>
        </w:rPr>
        <w:t xml:space="preserve">marché </w:t>
      </w:r>
      <w:r w:rsidR="00E13365">
        <w:rPr>
          <w:rStyle w:val="s14"/>
          <w:rFonts w:ascii="Georgia" w:hAnsi="Georgia"/>
          <w:lang w:val="fr-FR"/>
        </w:rPr>
        <w:t>Japon</w:t>
      </w:r>
      <w:r w:rsidR="00EA6FF5">
        <w:rPr>
          <w:rStyle w:val="s14"/>
          <w:rFonts w:ascii="Georgia" w:hAnsi="Georgia"/>
          <w:lang w:val="fr-FR"/>
        </w:rPr>
        <w:t>ais se redresse</w:t>
      </w:r>
      <w:r w:rsidR="00E13365">
        <w:rPr>
          <w:rStyle w:val="s14"/>
          <w:rFonts w:ascii="Georgia" w:hAnsi="Georgia"/>
          <w:lang w:val="fr-FR"/>
        </w:rPr>
        <w:t xml:space="preserve"> plus vigoureusement que prévu (</w:t>
      </w:r>
      <w:r w:rsidR="00EA6FF5">
        <w:rPr>
          <w:rStyle w:val="s14"/>
          <w:rFonts w:ascii="Georgia" w:hAnsi="Georgia"/>
          <w:lang w:val="fr-FR"/>
        </w:rPr>
        <w:t>+</w:t>
      </w:r>
      <w:r w:rsidR="00E13365">
        <w:rPr>
          <w:rStyle w:val="s14"/>
          <w:rFonts w:ascii="Georgia" w:hAnsi="Georgia"/>
          <w:lang w:val="fr-FR"/>
        </w:rPr>
        <w:t xml:space="preserve">4,1%). Les recettes publicitaires en Australie ont légèrement diminué (-0,5%). En </w:t>
      </w:r>
      <w:r w:rsidR="00E13365" w:rsidRPr="00EA6FF5">
        <w:rPr>
          <w:rStyle w:val="s14"/>
          <w:rFonts w:ascii="Georgia" w:hAnsi="Georgia"/>
          <w:b/>
          <w:lang w:val="fr-FR"/>
        </w:rPr>
        <w:t>Amérique latine</w:t>
      </w:r>
      <w:r w:rsidR="00E13365">
        <w:rPr>
          <w:rStyle w:val="s14"/>
          <w:rFonts w:ascii="Georgia" w:hAnsi="Georgia"/>
          <w:lang w:val="fr-FR"/>
        </w:rPr>
        <w:t xml:space="preserve">, les revenus publicitaires ont augmenté de 13% malgré </w:t>
      </w:r>
      <w:proofErr w:type="gramStart"/>
      <w:r w:rsidR="00E13365">
        <w:rPr>
          <w:rStyle w:val="s14"/>
          <w:rFonts w:ascii="Georgia" w:hAnsi="Georgia"/>
          <w:lang w:val="fr-FR"/>
        </w:rPr>
        <w:t>de la</w:t>
      </w:r>
      <w:proofErr w:type="gramEnd"/>
      <w:r w:rsidR="00E13365">
        <w:rPr>
          <w:rStyle w:val="s14"/>
          <w:rFonts w:ascii="Georgia" w:hAnsi="Georgia"/>
          <w:lang w:val="fr-FR"/>
        </w:rPr>
        <w:t xml:space="preserve"> ralentissement de la croissance économique, grâce</w:t>
      </w:r>
      <w:r w:rsidR="008638B2">
        <w:rPr>
          <w:rStyle w:val="s14"/>
          <w:rFonts w:ascii="Georgia" w:hAnsi="Georgia"/>
          <w:lang w:val="fr-FR"/>
        </w:rPr>
        <w:t xml:space="preserve"> à une inflation accrue des prix dans plusieurs marchés.</w:t>
      </w:r>
    </w:p>
    <w:p w14:paraId="5B7A5C91" w14:textId="77777777" w:rsidR="008638B2" w:rsidRDefault="008638B2" w:rsidP="00F96D41">
      <w:pPr>
        <w:pStyle w:val="s15"/>
        <w:spacing w:before="0" w:beforeAutospacing="0" w:after="0" w:afterAutospacing="0"/>
        <w:jc w:val="both"/>
        <w:rPr>
          <w:rStyle w:val="s14"/>
          <w:rFonts w:ascii="Georgia" w:hAnsi="Georgia"/>
          <w:lang w:val="fr-FR"/>
        </w:rPr>
      </w:pPr>
    </w:p>
    <w:p w14:paraId="57307A04" w14:textId="77777777" w:rsidR="008D473B" w:rsidRDefault="008D473B" w:rsidP="00F96D41">
      <w:pPr>
        <w:pStyle w:val="s15"/>
        <w:spacing w:before="0" w:beforeAutospacing="0" w:after="0" w:afterAutospacing="0"/>
        <w:jc w:val="both"/>
        <w:rPr>
          <w:rStyle w:val="s14"/>
          <w:rFonts w:ascii="Georgia" w:hAnsi="Georgia"/>
          <w:lang w:val="fr-FR"/>
        </w:rPr>
      </w:pPr>
    </w:p>
    <w:p w14:paraId="79C5BDB9" w14:textId="77777777" w:rsidR="008D473B" w:rsidRDefault="008D473B" w:rsidP="00F96D41">
      <w:pPr>
        <w:pStyle w:val="s15"/>
        <w:spacing w:before="0" w:beforeAutospacing="0" w:after="0" w:afterAutospacing="0"/>
        <w:jc w:val="both"/>
        <w:rPr>
          <w:rStyle w:val="s14"/>
          <w:rFonts w:ascii="Georgia" w:hAnsi="Georgia"/>
          <w:lang w:val="fr-FR"/>
        </w:rPr>
      </w:pPr>
    </w:p>
    <w:p w14:paraId="320C4CFB" w14:textId="77777777" w:rsidR="008D473B" w:rsidRDefault="008D473B" w:rsidP="00F96D41">
      <w:pPr>
        <w:pStyle w:val="s15"/>
        <w:spacing w:before="0" w:beforeAutospacing="0" w:after="0" w:afterAutospacing="0"/>
        <w:jc w:val="both"/>
        <w:rPr>
          <w:rStyle w:val="s14"/>
          <w:rFonts w:ascii="Georgia" w:hAnsi="Georgia"/>
          <w:lang w:val="fr-FR"/>
        </w:rPr>
      </w:pPr>
    </w:p>
    <w:p w14:paraId="1CF20CE2" w14:textId="77777777" w:rsidR="008D473B" w:rsidRDefault="008D473B" w:rsidP="00F96D41">
      <w:pPr>
        <w:pStyle w:val="s15"/>
        <w:spacing w:before="0" w:beforeAutospacing="0" w:after="0" w:afterAutospacing="0"/>
        <w:jc w:val="both"/>
        <w:rPr>
          <w:rStyle w:val="s14"/>
          <w:rFonts w:ascii="Georgia" w:hAnsi="Georgia"/>
          <w:lang w:val="fr-FR"/>
        </w:rPr>
      </w:pPr>
    </w:p>
    <w:p w14:paraId="0CE4E976" w14:textId="77777777" w:rsidR="008D473B" w:rsidRDefault="008D473B" w:rsidP="00F96D41">
      <w:pPr>
        <w:pStyle w:val="s15"/>
        <w:spacing w:before="0" w:beforeAutospacing="0" w:after="0" w:afterAutospacing="0"/>
        <w:jc w:val="both"/>
        <w:rPr>
          <w:rStyle w:val="s14"/>
          <w:rFonts w:ascii="Georgia" w:hAnsi="Georgia"/>
          <w:lang w:val="fr-FR"/>
        </w:rPr>
      </w:pPr>
    </w:p>
    <w:p w14:paraId="44DCFF8D" w14:textId="77777777" w:rsidR="008D473B" w:rsidRDefault="008D473B" w:rsidP="00F96D41">
      <w:pPr>
        <w:pStyle w:val="s15"/>
        <w:spacing w:before="0" w:beforeAutospacing="0" w:after="0" w:afterAutospacing="0"/>
        <w:jc w:val="both"/>
        <w:rPr>
          <w:rStyle w:val="s14"/>
          <w:rFonts w:ascii="Georgia" w:hAnsi="Georgia"/>
          <w:lang w:val="fr-FR"/>
        </w:rPr>
      </w:pPr>
    </w:p>
    <w:p w14:paraId="6D449A17" w14:textId="77777777" w:rsidR="008D473B" w:rsidRDefault="008D473B" w:rsidP="00F96D41">
      <w:pPr>
        <w:pStyle w:val="s15"/>
        <w:spacing w:before="0" w:beforeAutospacing="0" w:after="0" w:afterAutospacing="0"/>
        <w:jc w:val="both"/>
        <w:rPr>
          <w:rStyle w:val="s14"/>
          <w:rFonts w:ascii="Georgia" w:hAnsi="Georgia"/>
          <w:lang w:val="fr-FR"/>
        </w:rPr>
      </w:pPr>
    </w:p>
    <w:p w14:paraId="7BD84456" w14:textId="77777777" w:rsidR="008D473B" w:rsidRDefault="008D473B" w:rsidP="00F96D41">
      <w:pPr>
        <w:pStyle w:val="s15"/>
        <w:spacing w:before="0" w:beforeAutospacing="0" w:after="0" w:afterAutospacing="0"/>
        <w:jc w:val="both"/>
        <w:rPr>
          <w:rStyle w:val="s14"/>
          <w:rFonts w:ascii="Georgia" w:hAnsi="Georgia"/>
          <w:lang w:val="fr-FR"/>
        </w:rPr>
      </w:pPr>
    </w:p>
    <w:p w14:paraId="32C28B4F" w14:textId="77777777" w:rsidR="008D473B" w:rsidRDefault="008D473B" w:rsidP="00F96D41">
      <w:pPr>
        <w:pStyle w:val="s15"/>
        <w:spacing w:before="0" w:beforeAutospacing="0" w:after="0" w:afterAutospacing="0"/>
        <w:jc w:val="both"/>
        <w:rPr>
          <w:rStyle w:val="s14"/>
          <w:rFonts w:ascii="Georgia" w:hAnsi="Georgia"/>
          <w:lang w:val="fr-FR"/>
        </w:rPr>
      </w:pPr>
    </w:p>
    <w:p w14:paraId="6C67171C" w14:textId="77777777" w:rsidR="008D473B" w:rsidRDefault="008D473B" w:rsidP="00F96D41">
      <w:pPr>
        <w:pStyle w:val="s15"/>
        <w:spacing w:before="0" w:beforeAutospacing="0" w:after="0" w:afterAutospacing="0"/>
        <w:jc w:val="both"/>
        <w:rPr>
          <w:rStyle w:val="s14"/>
          <w:rFonts w:ascii="Georgia" w:hAnsi="Georgia"/>
          <w:lang w:val="fr-FR"/>
        </w:rPr>
      </w:pPr>
    </w:p>
    <w:p w14:paraId="003E0C0F" w14:textId="48C7FF04" w:rsidR="008638B2" w:rsidRDefault="00390BAD" w:rsidP="00F96D41">
      <w:pPr>
        <w:pStyle w:val="s15"/>
        <w:spacing w:before="0" w:beforeAutospacing="0" w:after="0" w:afterAutospacing="0"/>
        <w:jc w:val="both"/>
        <w:rPr>
          <w:rStyle w:val="s14"/>
          <w:rFonts w:ascii="Georgia" w:hAnsi="Georgia"/>
          <w:lang w:val="fr-FR"/>
        </w:rPr>
      </w:pPr>
      <w:r>
        <w:rPr>
          <w:rStyle w:val="s14"/>
          <w:rFonts w:ascii="Georgia" w:hAnsi="Georgia"/>
          <w:lang w:val="fr-FR"/>
        </w:rPr>
        <w:t>Au niveau mondial</w:t>
      </w:r>
      <w:r w:rsidR="008638B2">
        <w:rPr>
          <w:rStyle w:val="s14"/>
          <w:rFonts w:ascii="Georgia" w:hAnsi="Georgia"/>
          <w:lang w:val="fr-FR"/>
        </w:rPr>
        <w:t xml:space="preserve">, la télévision a encore </w:t>
      </w:r>
      <w:r w:rsidR="00ED6755">
        <w:rPr>
          <w:rStyle w:val="s14"/>
          <w:rFonts w:ascii="Georgia" w:hAnsi="Georgia"/>
          <w:lang w:val="fr-FR"/>
        </w:rPr>
        <w:t>bien résisté</w:t>
      </w:r>
      <w:r w:rsidR="008638B2">
        <w:rPr>
          <w:rStyle w:val="s14"/>
          <w:rFonts w:ascii="Georgia" w:hAnsi="Georgia"/>
          <w:lang w:val="fr-FR"/>
        </w:rPr>
        <w:t xml:space="preserve"> en 2012 (</w:t>
      </w:r>
      <w:r>
        <w:rPr>
          <w:rStyle w:val="s14"/>
          <w:rFonts w:ascii="Georgia" w:hAnsi="Georgia"/>
          <w:lang w:val="fr-FR"/>
        </w:rPr>
        <w:t>+</w:t>
      </w:r>
      <w:r w:rsidR="008638B2">
        <w:rPr>
          <w:rStyle w:val="s14"/>
          <w:rFonts w:ascii="Georgia" w:hAnsi="Georgia"/>
          <w:lang w:val="fr-FR"/>
        </w:rPr>
        <w:t xml:space="preserve">5%), </w:t>
      </w:r>
      <w:r w:rsidR="00ED6755">
        <w:rPr>
          <w:rStyle w:val="s14"/>
          <w:rFonts w:ascii="Georgia" w:hAnsi="Georgia"/>
          <w:lang w:val="fr-FR"/>
        </w:rPr>
        <w:t>aidée</w:t>
      </w:r>
      <w:r w:rsidR="008638B2">
        <w:rPr>
          <w:rStyle w:val="s14"/>
          <w:rFonts w:ascii="Georgia" w:hAnsi="Georgia"/>
          <w:lang w:val="fr-FR"/>
        </w:rPr>
        <w:t xml:space="preserve"> par les </w:t>
      </w:r>
      <w:r>
        <w:rPr>
          <w:rStyle w:val="s14"/>
          <w:rFonts w:ascii="Georgia" w:hAnsi="Georgia"/>
          <w:lang w:val="fr-FR"/>
        </w:rPr>
        <w:t xml:space="preserve">grands </w:t>
      </w:r>
      <w:r w:rsidR="008638B2">
        <w:rPr>
          <w:rStyle w:val="s14"/>
          <w:rFonts w:ascii="Georgia" w:hAnsi="Georgia"/>
          <w:lang w:val="fr-FR"/>
        </w:rPr>
        <w:t xml:space="preserve">événements </w:t>
      </w:r>
      <w:r>
        <w:rPr>
          <w:rStyle w:val="s14"/>
          <w:rFonts w:ascii="Georgia" w:hAnsi="Georgia"/>
          <w:lang w:val="fr-FR"/>
        </w:rPr>
        <w:t>de 2012</w:t>
      </w:r>
      <w:r w:rsidR="008638B2">
        <w:rPr>
          <w:rStyle w:val="s14"/>
          <w:rFonts w:ascii="Georgia" w:hAnsi="Georgia"/>
          <w:lang w:val="fr-FR"/>
        </w:rPr>
        <w:t>.</w:t>
      </w:r>
      <w:r w:rsidR="00341977">
        <w:rPr>
          <w:rStyle w:val="s14"/>
          <w:rFonts w:ascii="Georgia" w:hAnsi="Georgia"/>
          <w:lang w:val="fr-FR"/>
        </w:rPr>
        <w:t xml:space="preserve"> </w:t>
      </w:r>
      <w:r>
        <w:rPr>
          <w:rStyle w:val="s14"/>
          <w:rFonts w:ascii="Georgia" w:hAnsi="Georgia"/>
          <w:lang w:val="fr-FR"/>
        </w:rPr>
        <w:t>La TV profite également du</w:t>
      </w:r>
      <w:r w:rsidR="00341977">
        <w:rPr>
          <w:rStyle w:val="s14"/>
          <w:rFonts w:ascii="Georgia" w:hAnsi="Georgia"/>
          <w:lang w:val="fr-FR"/>
        </w:rPr>
        <w:t xml:space="preserve"> déclin de la presse quotidienne (-4,5%) et des magazines (-5,7%) qui </w:t>
      </w:r>
      <w:r w:rsidR="00ED6755">
        <w:rPr>
          <w:rStyle w:val="s14"/>
          <w:rFonts w:ascii="Georgia" w:hAnsi="Georgia"/>
          <w:lang w:val="fr-FR"/>
        </w:rPr>
        <w:t xml:space="preserve">subissent </w:t>
      </w:r>
      <w:r w:rsidR="00341977">
        <w:rPr>
          <w:rStyle w:val="s14"/>
          <w:rFonts w:ascii="Georgia" w:hAnsi="Georgia"/>
          <w:lang w:val="fr-FR"/>
        </w:rPr>
        <w:t>un</w:t>
      </w:r>
      <w:r>
        <w:rPr>
          <w:rStyle w:val="s14"/>
          <w:rFonts w:ascii="Georgia" w:hAnsi="Georgia"/>
          <w:lang w:val="fr-FR"/>
        </w:rPr>
        <w:t>e</w:t>
      </w:r>
      <w:r w:rsidR="00341977">
        <w:rPr>
          <w:rStyle w:val="s14"/>
          <w:rFonts w:ascii="Georgia" w:hAnsi="Georgia"/>
          <w:lang w:val="fr-FR"/>
        </w:rPr>
        <w:t xml:space="preserve"> triple </w:t>
      </w:r>
      <w:r>
        <w:rPr>
          <w:rStyle w:val="s14"/>
          <w:rFonts w:ascii="Georgia" w:hAnsi="Georgia"/>
          <w:lang w:val="fr-FR"/>
        </w:rPr>
        <w:t>difficulté</w:t>
      </w:r>
      <w:r w:rsidR="00341977">
        <w:rPr>
          <w:rStyle w:val="s14"/>
          <w:rFonts w:ascii="Georgia" w:hAnsi="Georgia"/>
          <w:lang w:val="fr-FR"/>
        </w:rPr>
        <w:t xml:space="preserve"> : érosion de l’audience, </w:t>
      </w:r>
      <w:r w:rsidR="00ED6755">
        <w:rPr>
          <w:rStyle w:val="s14"/>
          <w:rFonts w:ascii="Georgia" w:hAnsi="Georgia"/>
          <w:lang w:val="fr-FR"/>
        </w:rPr>
        <w:t xml:space="preserve">faible </w:t>
      </w:r>
      <w:r>
        <w:rPr>
          <w:rStyle w:val="s14"/>
          <w:rFonts w:ascii="Georgia" w:hAnsi="Georgia"/>
          <w:lang w:val="fr-FR"/>
        </w:rPr>
        <w:t>dépense des annonceurs</w:t>
      </w:r>
      <w:r w:rsidR="00341977">
        <w:rPr>
          <w:rStyle w:val="s14"/>
          <w:rFonts w:ascii="Georgia" w:hAnsi="Georgia"/>
          <w:lang w:val="fr-FR"/>
        </w:rPr>
        <w:t xml:space="preserve"> et </w:t>
      </w:r>
      <w:r>
        <w:rPr>
          <w:rStyle w:val="s14"/>
          <w:rFonts w:ascii="Georgia" w:hAnsi="Georgia"/>
          <w:lang w:val="fr-FR"/>
        </w:rPr>
        <w:t xml:space="preserve">une </w:t>
      </w:r>
      <w:r w:rsidR="00341977">
        <w:rPr>
          <w:rStyle w:val="s14"/>
          <w:rFonts w:ascii="Georgia" w:hAnsi="Georgia"/>
          <w:lang w:val="fr-FR"/>
        </w:rPr>
        <w:t>concurrence numérique</w:t>
      </w:r>
      <w:r>
        <w:rPr>
          <w:rStyle w:val="s14"/>
          <w:rFonts w:ascii="Georgia" w:hAnsi="Georgia"/>
          <w:lang w:val="fr-FR"/>
        </w:rPr>
        <w:t xml:space="preserve"> de plus en plus bon marché</w:t>
      </w:r>
      <w:r w:rsidR="00341977">
        <w:rPr>
          <w:rStyle w:val="s14"/>
          <w:rFonts w:ascii="Georgia" w:hAnsi="Georgia"/>
          <w:lang w:val="fr-FR"/>
        </w:rPr>
        <w:t xml:space="preserve">. </w:t>
      </w:r>
      <w:r>
        <w:rPr>
          <w:rStyle w:val="s14"/>
          <w:rFonts w:ascii="Georgia" w:hAnsi="Georgia"/>
          <w:lang w:val="fr-FR"/>
        </w:rPr>
        <w:t xml:space="preserve">Les éditeurs de presse diversifient vers les médias numériques mais cela ne suffit pas à compenser les pertes enregistrées par leurs éditions papier. </w:t>
      </w:r>
      <w:r w:rsidR="00341977">
        <w:rPr>
          <w:rStyle w:val="s14"/>
          <w:rFonts w:ascii="Georgia" w:hAnsi="Georgia"/>
          <w:lang w:val="fr-FR"/>
        </w:rPr>
        <w:t>Cette année a été positive pour la radio (</w:t>
      </w:r>
      <w:r>
        <w:rPr>
          <w:rStyle w:val="s14"/>
          <w:rFonts w:ascii="Georgia" w:hAnsi="Georgia"/>
          <w:lang w:val="fr-FR"/>
        </w:rPr>
        <w:t>+</w:t>
      </w:r>
      <w:r w:rsidR="00341977">
        <w:rPr>
          <w:rStyle w:val="s14"/>
          <w:rFonts w:ascii="Georgia" w:hAnsi="Georgia"/>
          <w:lang w:val="fr-FR"/>
        </w:rPr>
        <w:t>1,6%)</w:t>
      </w:r>
      <w:r w:rsidR="00ED2688">
        <w:rPr>
          <w:rStyle w:val="s14"/>
          <w:rFonts w:ascii="Georgia" w:hAnsi="Georgia"/>
          <w:lang w:val="fr-FR"/>
        </w:rPr>
        <w:t>,</w:t>
      </w:r>
      <w:r w:rsidR="00341977">
        <w:rPr>
          <w:rStyle w:val="s14"/>
          <w:rFonts w:ascii="Georgia" w:hAnsi="Georgia"/>
          <w:lang w:val="fr-FR"/>
        </w:rPr>
        <w:t xml:space="preserve"> malgré la diminution des parts d’audience</w:t>
      </w:r>
      <w:r w:rsidR="00ED2688">
        <w:rPr>
          <w:rStyle w:val="s14"/>
          <w:rFonts w:ascii="Georgia" w:hAnsi="Georgia"/>
          <w:lang w:val="fr-FR"/>
        </w:rPr>
        <w:t>,</w:t>
      </w:r>
      <w:r w:rsidR="00341977">
        <w:rPr>
          <w:rStyle w:val="s14"/>
          <w:rFonts w:ascii="Georgia" w:hAnsi="Georgia"/>
          <w:lang w:val="fr-FR"/>
        </w:rPr>
        <w:t xml:space="preserve"> car il s’agit d’un média</w:t>
      </w:r>
      <w:r w:rsidR="00ED2688">
        <w:rPr>
          <w:rStyle w:val="s14"/>
          <w:rFonts w:ascii="Georgia" w:hAnsi="Georgia"/>
          <w:lang w:val="fr-FR"/>
        </w:rPr>
        <w:t xml:space="preserve"> flexible et</w:t>
      </w:r>
      <w:r w:rsidR="00ED6755">
        <w:rPr>
          <w:rStyle w:val="s14"/>
          <w:rFonts w:ascii="Georgia" w:hAnsi="Georgia"/>
          <w:lang w:val="fr-FR"/>
        </w:rPr>
        <w:t xml:space="preserve"> peu coûteux – efficace </w:t>
      </w:r>
      <w:r w:rsidR="00341977">
        <w:rPr>
          <w:rStyle w:val="s14"/>
          <w:rFonts w:ascii="Georgia" w:hAnsi="Georgia"/>
          <w:lang w:val="fr-FR"/>
        </w:rPr>
        <w:t xml:space="preserve">pour </w:t>
      </w:r>
      <w:r w:rsidR="00CD50D4">
        <w:rPr>
          <w:rStyle w:val="s14"/>
          <w:rFonts w:ascii="Georgia" w:hAnsi="Georgia"/>
          <w:lang w:val="fr-FR"/>
        </w:rPr>
        <w:t>faire de la promotion</w:t>
      </w:r>
      <w:r>
        <w:rPr>
          <w:rStyle w:val="s14"/>
          <w:rFonts w:ascii="Georgia" w:hAnsi="Georgia"/>
          <w:lang w:val="fr-FR"/>
        </w:rPr>
        <w:t xml:space="preserve"> en période de crise,</w:t>
      </w:r>
      <w:r w:rsidR="00ED2688">
        <w:rPr>
          <w:rStyle w:val="s14"/>
          <w:rFonts w:ascii="Georgia" w:hAnsi="Georgia"/>
          <w:lang w:val="fr-FR"/>
        </w:rPr>
        <w:t xml:space="preserve"> quand les budgets sont réduits.</w:t>
      </w:r>
      <w:r w:rsidR="00CD50D4">
        <w:rPr>
          <w:rStyle w:val="s14"/>
          <w:rFonts w:ascii="Georgia" w:hAnsi="Georgia"/>
          <w:lang w:val="fr-FR"/>
        </w:rPr>
        <w:t xml:space="preserve"> L’affichage a</w:t>
      </w:r>
      <w:r w:rsidR="00ED6755">
        <w:rPr>
          <w:rStyle w:val="s14"/>
          <w:rFonts w:ascii="Georgia" w:hAnsi="Georgia"/>
          <w:lang w:val="fr-FR"/>
        </w:rPr>
        <w:t xml:space="preserve"> également</w:t>
      </w:r>
      <w:r w:rsidR="00CD50D4">
        <w:rPr>
          <w:rStyle w:val="s14"/>
          <w:rFonts w:ascii="Georgia" w:hAnsi="Georgia"/>
          <w:lang w:val="fr-FR"/>
        </w:rPr>
        <w:t xml:space="preserve"> bénéficié du cycle </w:t>
      </w:r>
      <w:r w:rsidR="00277C3C">
        <w:rPr>
          <w:rStyle w:val="s14"/>
          <w:rFonts w:ascii="Georgia" w:hAnsi="Georgia"/>
          <w:lang w:val="fr-FR"/>
        </w:rPr>
        <w:t>bissextile</w:t>
      </w:r>
      <w:r w:rsidR="00CD50D4">
        <w:rPr>
          <w:rStyle w:val="s14"/>
          <w:rFonts w:ascii="Georgia" w:hAnsi="Georgia"/>
          <w:lang w:val="fr-FR"/>
        </w:rPr>
        <w:t>, et reste tiré par la hausse des formats numériques (</w:t>
      </w:r>
      <w:r w:rsidR="00277C3C">
        <w:rPr>
          <w:rStyle w:val="s14"/>
          <w:rFonts w:ascii="Georgia" w:hAnsi="Georgia"/>
          <w:lang w:val="fr-FR"/>
        </w:rPr>
        <w:t>+</w:t>
      </w:r>
      <w:r w:rsidR="00CD50D4">
        <w:rPr>
          <w:rStyle w:val="s14"/>
          <w:rFonts w:ascii="Georgia" w:hAnsi="Georgia"/>
          <w:lang w:val="fr-FR"/>
        </w:rPr>
        <w:t>6,1%).</w:t>
      </w:r>
    </w:p>
    <w:p w14:paraId="5BC3D1AF" w14:textId="77777777" w:rsidR="00130A31" w:rsidRDefault="00130A31" w:rsidP="00F96D41">
      <w:pPr>
        <w:pStyle w:val="s15"/>
        <w:spacing w:before="0" w:beforeAutospacing="0" w:after="0" w:afterAutospacing="0"/>
        <w:jc w:val="both"/>
        <w:rPr>
          <w:rStyle w:val="s14"/>
          <w:rFonts w:ascii="Georgia" w:hAnsi="Georgia"/>
          <w:lang w:val="fr-FR"/>
        </w:rPr>
      </w:pPr>
    </w:p>
    <w:p w14:paraId="025020DC" w14:textId="6568AACC" w:rsidR="00130A31" w:rsidRDefault="00ED6755" w:rsidP="00F96D41">
      <w:pPr>
        <w:pStyle w:val="s15"/>
        <w:spacing w:before="0" w:beforeAutospacing="0" w:after="0" w:afterAutospacing="0"/>
        <w:jc w:val="both"/>
        <w:rPr>
          <w:rStyle w:val="s14"/>
          <w:rFonts w:ascii="Georgia" w:hAnsi="Georgia"/>
          <w:lang w:val="fr-FR"/>
        </w:rPr>
      </w:pPr>
      <w:r>
        <w:rPr>
          <w:rStyle w:val="s14"/>
          <w:rFonts w:ascii="Georgia" w:hAnsi="Georgia"/>
          <w:lang w:val="fr-FR"/>
        </w:rPr>
        <w:t>Dans le contexte actuel de</w:t>
      </w:r>
      <w:r w:rsidR="00130A31">
        <w:rPr>
          <w:rStyle w:val="s14"/>
          <w:rFonts w:ascii="Georgia" w:hAnsi="Georgia"/>
          <w:lang w:val="fr-FR"/>
        </w:rPr>
        <w:t xml:space="preserve"> faible croissance économique et</w:t>
      </w:r>
      <w:r w:rsidR="00811F8D">
        <w:rPr>
          <w:rStyle w:val="s14"/>
          <w:rFonts w:ascii="Georgia" w:hAnsi="Georgia"/>
          <w:lang w:val="fr-FR"/>
        </w:rPr>
        <w:t xml:space="preserve"> </w:t>
      </w:r>
      <w:r w:rsidR="00277C3C">
        <w:rPr>
          <w:rStyle w:val="s14"/>
          <w:rFonts w:ascii="Georgia" w:hAnsi="Georgia"/>
          <w:lang w:val="fr-FR"/>
        </w:rPr>
        <w:t xml:space="preserve">faible </w:t>
      </w:r>
      <w:r w:rsidR="00130A31">
        <w:rPr>
          <w:rStyle w:val="s14"/>
          <w:rFonts w:ascii="Georgia" w:hAnsi="Georgia"/>
          <w:lang w:val="fr-FR"/>
        </w:rPr>
        <w:t xml:space="preserve">demande publicitaire, les évènements </w:t>
      </w:r>
      <w:r w:rsidR="00277C3C">
        <w:rPr>
          <w:rStyle w:val="s14"/>
          <w:rFonts w:ascii="Georgia" w:hAnsi="Georgia"/>
          <w:lang w:val="fr-FR"/>
        </w:rPr>
        <w:t xml:space="preserve">bissextiles </w:t>
      </w:r>
      <w:r w:rsidR="00130A31">
        <w:rPr>
          <w:rStyle w:val="s14"/>
          <w:rFonts w:ascii="Georgia" w:hAnsi="Georgia"/>
          <w:lang w:val="fr-FR"/>
        </w:rPr>
        <w:t>de 2012</w:t>
      </w:r>
      <w:r w:rsidR="00811F8D">
        <w:rPr>
          <w:rStyle w:val="s14"/>
          <w:rFonts w:ascii="Georgia" w:hAnsi="Georgia"/>
          <w:lang w:val="fr-FR"/>
        </w:rPr>
        <w:t xml:space="preserve"> </w:t>
      </w:r>
      <w:r w:rsidR="00277C3C">
        <w:rPr>
          <w:rStyle w:val="s14"/>
          <w:rFonts w:ascii="Georgia" w:hAnsi="Georgia"/>
          <w:lang w:val="fr-FR"/>
        </w:rPr>
        <w:t>ont représenté</w:t>
      </w:r>
      <w:r w:rsidR="00811F8D">
        <w:rPr>
          <w:rStyle w:val="s14"/>
          <w:rFonts w:ascii="Georgia" w:hAnsi="Georgia"/>
          <w:lang w:val="fr-FR"/>
        </w:rPr>
        <w:t xml:space="preserve"> un levier de </w:t>
      </w:r>
      <w:r w:rsidR="00277C3C">
        <w:rPr>
          <w:rStyle w:val="s14"/>
          <w:rFonts w:ascii="Georgia" w:hAnsi="Georgia"/>
          <w:lang w:val="fr-FR"/>
        </w:rPr>
        <w:t>recettes</w:t>
      </w:r>
      <w:r w:rsidR="00811F8D">
        <w:rPr>
          <w:rStyle w:val="s14"/>
          <w:rFonts w:ascii="Georgia" w:hAnsi="Georgia"/>
          <w:lang w:val="fr-FR"/>
        </w:rPr>
        <w:t xml:space="preserve"> au niveau </w:t>
      </w:r>
      <w:r w:rsidR="00811F8D">
        <w:rPr>
          <w:rStyle w:val="s14"/>
          <w:rFonts w:ascii="Georgia" w:hAnsi="Georgia"/>
          <w:lang w:val="fr-FR"/>
        </w:rPr>
        <w:lastRenderedPageBreak/>
        <w:t xml:space="preserve">mondial, </w:t>
      </w:r>
      <w:r w:rsidR="00277C3C">
        <w:rPr>
          <w:rStyle w:val="s14"/>
          <w:rFonts w:ascii="Georgia" w:hAnsi="Georgia"/>
          <w:lang w:val="fr-FR"/>
        </w:rPr>
        <w:t>quoique</w:t>
      </w:r>
      <w:r w:rsidR="00811F8D">
        <w:rPr>
          <w:rStyle w:val="s14"/>
          <w:rFonts w:ascii="Georgia" w:hAnsi="Georgia"/>
          <w:lang w:val="fr-FR"/>
        </w:rPr>
        <w:t xml:space="preserve"> mitigé au niveau régional. Les Jeux Olympiques de Londres ont été un succès </w:t>
      </w:r>
      <w:r w:rsidR="00277C3C">
        <w:rPr>
          <w:rStyle w:val="s14"/>
          <w:rFonts w:ascii="Georgia" w:hAnsi="Georgia"/>
          <w:lang w:val="fr-FR"/>
        </w:rPr>
        <w:t>phénoménal auprès du public américain</w:t>
      </w:r>
      <w:r w:rsidR="00811F8D">
        <w:rPr>
          <w:rStyle w:val="s14"/>
          <w:rFonts w:ascii="Georgia" w:hAnsi="Georgia"/>
          <w:lang w:val="fr-FR"/>
        </w:rPr>
        <w:t>, et le titulaire des droits</w:t>
      </w:r>
      <w:r w:rsidR="00277C3C">
        <w:rPr>
          <w:rStyle w:val="s14"/>
          <w:rFonts w:ascii="Georgia" w:hAnsi="Georgia"/>
          <w:lang w:val="fr-FR"/>
        </w:rPr>
        <w:t xml:space="preserve"> TV</w:t>
      </w:r>
      <w:r w:rsidR="00811F8D">
        <w:rPr>
          <w:rStyle w:val="s14"/>
          <w:rFonts w:ascii="Georgia" w:hAnsi="Georgia"/>
          <w:lang w:val="fr-FR"/>
        </w:rPr>
        <w:t xml:space="preserve">, NBC, a rentabilisé </w:t>
      </w:r>
      <w:r w:rsidR="007859CF">
        <w:rPr>
          <w:rStyle w:val="s14"/>
          <w:rFonts w:ascii="Georgia" w:hAnsi="Georgia"/>
          <w:lang w:val="fr-FR"/>
        </w:rPr>
        <w:t>l’événement en maximisant sa présence sur l’ensemble des écrans (TV, internet, mobile)</w:t>
      </w:r>
      <w:r w:rsidR="00740704">
        <w:rPr>
          <w:rStyle w:val="s14"/>
          <w:rFonts w:ascii="Georgia" w:hAnsi="Georgia"/>
          <w:lang w:val="fr-FR"/>
        </w:rPr>
        <w:t xml:space="preserve">. Cependant, dans la plupart des autres marchés, l’événement </w:t>
      </w:r>
      <w:r w:rsidR="007859CF">
        <w:rPr>
          <w:rStyle w:val="s14"/>
          <w:rFonts w:ascii="Georgia" w:hAnsi="Georgia"/>
          <w:lang w:val="fr-FR"/>
        </w:rPr>
        <w:t>a été</w:t>
      </w:r>
      <w:r w:rsidR="00740704">
        <w:rPr>
          <w:rStyle w:val="s14"/>
          <w:rFonts w:ascii="Georgia" w:hAnsi="Georgia"/>
          <w:lang w:val="fr-FR"/>
        </w:rPr>
        <w:t xml:space="preserve"> neutre ou </w:t>
      </w:r>
      <w:r w:rsidR="007859CF">
        <w:rPr>
          <w:rStyle w:val="s14"/>
          <w:rFonts w:ascii="Georgia" w:hAnsi="Georgia"/>
          <w:lang w:val="fr-FR"/>
        </w:rPr>
        <w:t>parfois négatif</w:t>
      </w:r>
      <w:r w:rsidR="00740704">
        <w:rPr>
          <w:rStyle w:val="s14"/>
          <w:rFonts w:ascii="Georgia" w:hAnsi="Georgia"/>
          <w:lang w:val="fr-FR"/>
        </w:rPr>
        <w:t xml:space="preserve"> pour la télévision. Le Royaume-Uni est le parfait exemple de ce paradoxe : diffusés </w:t>
      </w:r>
      <w:r w:rsidR="007859CF">
        <w:rPr>
          <w:rStyle w:val="s14"/>
          <w:rFonts w:ascii="Georgia" w:hAnsi="Georgia"/>
          <w:lang w:val="fr-FR"/>
        </w:rPr>
        <w:t>exclusivement</w:t>
      </w:r>
      <w:r w:rsidR="00740704">
        <w:rPr>
          <w:rStyle w:val="s14"/>
          <w:rFonts w:ascii="Georgia" w:hAnsi="Georgia"/>
          <w:lang w:val="fr-FR"/>
        </w:rPr>
        <w:t xml:space="preserve"> </w:t>
      </w:r>
      <w:r>
        <w:rPr>
          <w:rStyle w:val="s14"/>
          <w:rFonts w:ascii="Georgia" w:hAnsi="Georgia"/>
          <w:lang w:val="fr-FR"/>
        </w:rPr>
        <w:t xml:space="preserve">et </w:t>
      </w:r>
      <w:r w:rsidR="00740704">
        <w:rPr>
          <w:rStyle w:val="s14"/>
          <w:rFonts w:ascii="Georgia" w:hAnsi="Georgia"/>
          <w:lang w:val="fr-FR"/>
        </w:rPr>
        <w:t>sans interruption publicitaire sur</w:t>
      </w:r>
      <w:r w:rsidR="00D26F82">
        <w:rPr>
          <w:rStyle w:val="s14"/>
          <w:rFonts w:ascii="Georgia" w:hAnsi="Georgia"/>
          <w:lang w:val="fr-FR"/>
        </w:rPr>
        <w:t xml:space="preserve"> la</w:t>
      </w:r>
      <w:r w:rsidR="007859CF">
        <w:rPr>
          <w:rStyle w:val="s14"/>
          <w:rFonts w:ascii="Georgia" w:hAnsi="Georgia"/>
          <w:lang w:val="fr-FR"/>
        </w:rPr>
        <w:t xml:space="preserve"> BB</w:t>
      </w:r>
      <w:r w:rsidR="00740704">
        <w:rPr>
          <w:rStyle w:val="s14"/>
          <w:rFonts w:ascii="Georgia" w:hAnsi="Georgia"/>
          <w:lang w:val="fr-FR"/>
        </w:rPr>
        <w:t xml:space="preserve">C, les Jeux Olympiques ont </w:t>
      </w:r>
      <w:r w:rsidR="007859CF">
        <w:rPr>
          <w:rStyle w:val="s14"/>
          <w:rFonts w:ascii="Georgia" w:hAnsi="Georgia"/>
          <w:lang w:val="fr-FR"/>
        </w:rPr>
        <w:t>attiré et retenu</w:t>
      </w:r>
      <w:r w:rsidR="00740704">
        <w:rPr>
          <w:rStyle w:val="s14"/>
          <w:rFonts w:ascii="Georgia" w:hAnsi="Georgia"/>
          <w:lang w:val="fr-FR"/>
        </w:rPr>
        <w:t xml:space="preserve"> une audience massive à l’écart des chaînes commerciales pendant trois semaines ; </w:t>
      </w:r>
      <w:r>
        <w:rPr>
          <w:rStyle w:val="s14"/>
          <w:rFonts w:ascii="Georgia" w:hAnsi="Georgia"/>
          <w:lang w:val="fr-FR"/>
        </w:rPr>
        <w:t>si</w:t>
      </w:r>
      <w:r w:rsidR="00740704">
        <w:rPr>
          <w:rStyle w:val="s14"/>
          <w:rFonts w:ascii="Georgia" w:hAnsi="Georgia"/>
          <w:lang w:val="fr-FR"/>
        </w:rPr>
        <w:t xml:space="preserve"> </w:t>
      </w:r>
      <w:r w:rsidR="007663D1">
        <w:rPr>
          <w:rStyle w:val="s14"/>
          <w:rFonts w:ascii="Georgia" w:hAnsi="Georgia"/>
          <w:lang w:val="fr-FR"/>
        </w:rPr>
        <w:t>certains s</w:t>
      </w:r>
      <w:r>
        <w:rPr>
          <w:rStyle w:val="s14"/>
          <w:rFonts w:ascii="Georgia" w:hAnsi="Georgia"/>
          <w:lang w:val="fr-FR"/>
        </w:rPr>
        <w:t xml:space="preserve">ponsors Olympiques ont dépensé plus </w:t>
      </w:r>
      <w:r w:rsidR="007859CF">
        <w:rPr>
          <w:rStyle w:val="s14"/>
          <w:rFonts w:ascii="Georgia" w:hAnsi="Georgia"/>
          <w:lang w:val="fr-FR"/>
        </w:rPr>
        <w:t>qu’à l’ordinaire pour</w:t>
      </w:r>
      <w:r>
        <w:rPr>
          <w:rStyle w:val="s14"/>
          <w:rFonts w:ascii="Georgia" w:hAnsi="Georgia"/>
          <w:lang w:val="fr-FR"/>
        </w:rPr>
        <w:t xml:space="preserve"> </w:t>
      </w:r>
      <w:r w:rsidR="007663D1">
        <w:rPr>
          <w:rStyle w:val="s14"/>
          <w:rFonts w:ascii="Georgia" w:hAnsi="Georgia"/>
          <w:lang w:val="fr-FR"/>
        </w:rPr>
        <w:t>l’occasion</w:t>
      </w:r>
      <w:r w:rsidR="007859CF">
        <w:rPr>
          <w:rStyle w:val="s14"/>
          <w:rFonts w:ascii="Georgia" w:hAnsi="Georgia"/>
          <w:lang w:val="fr-FR"/>
        </w:rPr>
        <w:t xml:space="preserve"> (sur les chaines commerciales ou dans les autres médias), un plus grand nombre d’entre eux </w:t>
      </w:r>
      <w:r w:rsidR="007663D1">
        <w:rPr>
          <w:rStyle w:val="s14"/>
          <w:rFonts w:ascii="Georgia" w:hAnsi="Georgia"/>
          <w:lang w:val="fr-FR"/>
        </w:rPr>
        <w:t>ont déc</w:t>
      </w:r>
      <w:r w:rsidR="007859CF">
        <w:rPr>
          <w:rStyle w:val="s14"/>
          <w:rFonts w:ascii="Georgia" w:hAnsi="Georgia"/>
          <w:lang w:val="fr-FR"/>
        </w:rPr>
        <w:t>idé de se retirer de ce qu’ils</w:t>
      </w:r>
      <w:r w:rsidR="007663D1">
        <w:rPr>
          <w:rStyle w:val="s14"/>
          <w:rFonts w:ascii="Georgia" w:hAnsi="Georgia"/>
          <w:lang w:val="fr-FR"/>
        </w:rPr>
        <w:t xml:space="preserve"> </w:t>
      </w:r>
      <w:r w:rsidR="007859CF">
        <w:rPr>
          <w:rStyle w:val="s14"/>
          <w:rFonts w:ascii="Georgia" w:hAnsi="Georgia"/>
          <w:lang w:val="fr-FR"/>
        </w:rPr>
        <w:t>percevaient comme un marché</w:t>
      </w:r>
      <w:r w:rsidR="007663D1">
        <w:rPr>
          <w:rStyle w:val="s14"/>
          <w:rFonts w:ascii="Georgia" w:hAnsi="Georgia"/>
          <w:lang w:val="fr-FR"/>
        </w:rPr>
        <w:t xml:space="preserve"> </w:t>
      </w:r>
      <w:r>
        <w:rPr>
          <w:rStyle w:val="s14"/>
          <w:rFonts w:ascii="Georgia" w:hAnsi="Georgia"/>
          <w:lang w:val="fr-FR"/>
        </w:rPr>
        <w:t>saturé</w:t>
      </w:r>
      <w:r w:rsidR="007663D1">
        <w:rPr>
          <w:rStyle w:val="s14"/>
          <w:rFonts w:ascii="Georgia" w:hAnsi="Georgia"/>
          <w:lang w:val="fr-FR"/>
        </w:rPr>
        <w:t xml:space="preserve"> et potentiellement inflationniste. </w:t>
      </w:r>
      <w:r>
        <w:rPr>
          <w:rStyle w:val="s14"/>
          <w:rFonts w:ascii="Georgia" w:hAnsi="Georgia"/>
          <w:lang w:val="fr-FR"/>
        </w:rPr>
        <w:t>Seuls les</w:t>
      </w:r>
      <w:r w:rsidR="007859CF">
        <w:rPr>
          <w:rStyle w:val="s14"/>
          <w:rFonts w:ascii="Georgia" w:hAnsi="Georgia"/>
          <w:lang w:val="fr-FR"/>
        </w:rPr>
        <w:t xml:space="preserve"> opérateurs </w:t>
      </w:r>
      <w:r w:rsidR="007663D1">
        <w:rPr>
          <w:rStyle w:val="s14"/>
          <w:rFonts w:ascii="Georgia" w:hAnsi="Georgia"/>
          <w:lang w:val="fr-FR"/>
        </w:rPr>
        <w:t>d</w:t>
      </w:r>
      <w:r w:rsidR="007859CF">
        <w:rPr>
          <w:rStyle w:val="s14"/>
          <w:rFonts w:ascii="Georgia" w:hAnsi="Georgia"/>
          <w:lang w:val="fr-FR"/>
        </w:rPr>
        <w:t>e l</w:t>
      </w:r>
      <w:r w:rsidR="007663D1">
        <w:rPr>
          <w:rStyle w:val="s14"/>
          <w:rFonts w:ascii="Georgia" w:hAnsi="Georgia"/>
          <w:lang w:val="fr-FR"/>
        </w:rPr>
        <w:t xml:space="preserve">’affichage ont </w:t>
      </w:r>
      <w:r w:rsidR="007859CF">
        <w:rPr>
          <w:rStyle w:val="s14"/>
          <w:rFonts w:ascii="Georgia" w:hAnsi="Georgia"/>
          <w:lang w:val="fr-FR"/>
        </w:rPr>
        <w:t xml:space="preserve">clairement </w:t>
      </w:r>
      <w:r w:rsidR="007663D1">
        <w:rPr>
          <w:rStyle w:val="s14"/>
          <w:rFonts w:ascii="Georgia" w:hAnsi="Georgia"/>
          <w:lang w:val="fr-FR"/>
        </w:rPr>
        <w:t xml:space="preserve">bénéficié de l’impact des Jeux. </w:t>
      </w:r>
      <w:r w:rsidR="007E51D8">
        <w:rPr>
          <w:rStyle w:val="s14"/>
          <w:rFonts w:ascii="Georgia" w:hAnsi="Georgia"/>
          <w:lang w:val="fr-FR"/>
        </w:rPr>
        <w:t>Ce</w:t>
      </w:r>
      <w:r w:rsidR="00A67AC7">
        <w:rPr>
          <w:rStyle w:val="s14"/>
          <w:rFonts w:ascii="Georgia" w:hAnsi="Georgia"/>
          <w:lang w:val="fr-FR"/>
        </w:rPr>
        <w:t xml:space="preserve"> schéma </w:t>
      </w:r>
      <w:r w:rsidR="007E51D8">
        <w:rPr>
          <w:rStyle w:val="s14"/>
          <w:rFonts w:ascii="Georgia" w:hAnsi="Georgia"/>
          <w:lang w:val="fr-FR"/>
        </w:rPr>
        <w:t xml:space="preserve">a été observé </w:t>
      </w:r>
      <w:r w:rsidR="00A67AC7">
        <w:rPr>
          <w:rStyle w:val="s14"/>
          <w:rFonts w:ascii="Georgia" w:hAnsi="Georgia"/>
          <w:lang w:val="fr-FR"/>
        </w:rPr>
        <w:t xml:space="preserve">partout en Europe, où les droits </w:t>
      </w:r>
      <w:r w:rsidR="007E51D8">
        <w:rPr>
          <w:rStyle w:val="s14"/>
          <w:rFonts w:ascii="Georgia" w:hAnsi="Georgia"/>
          <w:lang w:val="fr-FR"/>
        </w:rPr>
        <w:t>de diffusion</w:t>
      </w:r>
      <w:r w:rsidR="00A67AC7">
        <w:rPr>
          <w:rStyle w:val="s14"/>
          <w:rFonts w:ascii="Georgia" w:hAnsi="Georgia"/>
          <w:lang w:val="fr-FR"/>
        </w:rPr>
        <w:t xml:space="preserve"> étaient </w:t>
      </w:r>
      <w:r w:rsidR="007859CF">
        <w:rPr>
          <w:rStyle w:val="s14"/>
          <w:rFonts w:ascii="Georgia" w:hAnsi="Georgia"/>
          <w:lang w:val="fr-FR"/>
        </w:rPr>
        <w:t xml:space="preserve">généralement </w:t>
      </w:r>
      <w:r w:rsidR="00A67AC7">
        <w:rPr>
          <w:rStyle w:val="s14"/>
          <w:rFonts w:ascii="Georgia" w:hAnsi="Georgia"/>
          <w:lang w:val="fr-FR"/>
        </w:rPr>
        <w:t>dét</w:t>
      </w:r>
      <w:r w:rsidR="007859CF">
        <w:rPr>
          <w:rStyle w:val="s14"/>
          <w:rFonts w:ascii="Georgia" w:hAnsi="Georgia"/>
          <w:lang w:val="fr-FR"/>
        </w:rPr>
        <w:t xml:space="preserve">enus par des chaines publiques qui </w:t>
      </w:r>
      <w:r w:rsidR="00A67AC7">
        <w:rPr>
          <w:rStyle w:val="s14"/>
          <w:rFonts w:ascii="Georgia" w:hAnsi="Georgia"/>
          <w:lang w:val="fr-FR"/>
        </w:rPr>
        <w:t xml:space="preserve">ne </w:t>
      </w:r>
      <w:r w:rsidR="007859CF">
        <w:rPr>
          <w:rStyle w:val="s14"/>
          <w:rFonts w:ascii="Georgia" w:hAnsi="Georgia"/>
          <w:lang w:val="fr-FR"/>
        </w:rPr>
        <w:t>programment</w:t>
      </w:r>
      <w:r w:rsidR="00A67AC7">
        <w:rPr>
          <w:rStyle w:val="s14"/>
          <w:rFonts w:ascii="Georgia" w:hAnsi="Georgia"/>
          <w:lang w:val="fr-FR"/>
        </w:rPr>
        <w:t xml:space="preserve"> </w:t>
      </w:r>
      <w:r w:rsidR="007859CF">
        <w:rPr>
          <w:rStyle w:val="s14"/>
          <w:rFonts w:ascii="Georgia" w:hAnsi="Georgia"/>
          <w:lang w:val="fr-FR"/>
        </w:rPr>
        <w:t xml:space="preserve">pas, ou </w:t>
      </w:r>
      <w:r w:rsidR="00A67AC7">
        <w:rPr>
          <w:rStyle w:val="s14"/>
          <w:rFonts w:ascii="Georgia" w:hAnsi="Georgia"/>
          <w:lang w:val="fr-FR"/>
        </w:rPr>
        <w:t>plus</w:t>
      </w:r>
      <w:r w:rsidR="007859CF">
        <w:rPr>
          <w:rStyle w:val="s14"/>
          <w:rFonts w:ascii="Georgia" w:hAnsi="Georgia"/>
          <w:lang w:val="fr-FR"/>
        </w:rPr>
        <w:t>,</w:t>
      </w:r>
      <w:r w:rsidR="00A67AC7">
        <w:rPr>
          <w:rStyle w:val="s14"/>
          <w:rFonts w:ascii="Georgia" w:hAnsi="Georgia"/>
          <w:lang w:val="fr-FR"/>
        </w:rPr>
        <w:t xml:space="preserve"> de </w:t>
      </w:r>
      <w:r w:rsidR="007859CF">
        <w:rPr>
          <w:rStyle w:val="s14"/>
          <w:rFonts w:ascii="Georgia" w:hAnsi="Georgia"/>
          <w:lang w:val="fr-FR"/>
        </w:rPr>
        <w:t>publicité</w:t>
      </w:r>
      <w:r w:rsidR="00A67AC7">
        <w:rPr>
          <w:rStyle w:val="s14"/>
          <w:rFonts w:ascii="Georgia" w:hAnsi="Georgia"/>
          <w:lang w:val="fr-FR"/>
        </w:rPr>
        <w:t xml:space="preserve"> en prime time.</w:t>
      </w:r>
      <w:r w:rsidR="000C783C">
        <w:rPr>
          <w:rStyle w:val="s14"/>
          <w:rFonts w:ascii="Georgia" w:hAnsi="Georgia"/>
          <w:lang w:val="fr-FR"/>
        </w:rPr>
        <w:t xml:space="preserve"> Le championnat d’Europe</w:t>
      </w:r>
      <w:r w:rsidR="00AC092E">
        <w:rPr>
          <w:rStyle w:val="s14"/>
          <w:rFonts w:ascii="Georgia" w:hAnsi="Georgia"/>
          <w:lang w:val="fr-FR"/>
        </w:rPr>
        <w:t xml:space="preserve"> de football a été plus positif</w:t>
      </w:r>
      <w:r w:rsidR="000C783C">
        <w:rPr>
          <w:rStyle w:val="s14"/>
          <w:rFonts w:ascii="Georgia" w:hAnsi="Georgia"/>
          <w:lang w:val="fr-FR"/>
        </w:rPr>
        <w:t xml:space="preserve"> pour les </w:t>
      </w:r>
      <w:r w:rsidR="007859CF">
        <w:rPr>
          <w:rStyle w:val="s14"/>
          <w:rFonts w:ascii="Georgia" w:hAnsi="Georgia"/>
          <w:lang w:val="fr-FR"/>
        </w:rPr>
        <w:t xml:space="preserve">diffuseurs </w:t>
      </w:r>
      <w:r w:rsidR="000C783C">
        <w:rPr>
          <w:rStyle w:val="s14"/>
          <w:rFonts w:ascii="Georgia" w:hAnsi="Georgia"/>
          <w:lang w:val="fr-FR"/>
        </w:rPr>
        <w:t>européens car l’événement a été davantage diffusé s</w:t>
      </w:r>
      <w:r w:rsidR="007859CF">
        <w:rPr>
          <w:rStyle w:val="s14"/>
          <w:rFonts w:ascii="Georgia" w:hAnsi="Georgia"/>
          <w:lang w:val="fr-FR"/>
        </w:rPr>
        <w:t>ur des stations commerciales</w:t>
      </w:r>
      <w:r w:rsidR="007E51D8">
        <w:rPr>
          <w:rStyle w:val="s14"/>
          <w:rFonts w:ascii="Georgia" w:hAnsi="Georgia"/>
          <w:lang w:val="fr-FR"/>
        </w:rPr>
        <w:t xml:space="preserve"> </w:t>
      </w:r>
      <w:r w:rsidR="000C783C">
        <w:rPr>
          <w:rStyle w:val="s14"/>
          <w:rFonts w:ascii="Georgia" w:hAnsi="Georgia"/>
          <w:lang w:val="fr-FR"/>
        </w:rPr>
        <w:t>financées par la publicité.</w:t>
      </w:r>
    </w:p>
    <w:p w14:paraId="7CB4A849" w14:textId="6372FB38" w:rsidR="00006EDE" w:rsidRPr="008D473B" w:rsidRDefault="00006EDE" w:rsidP="004E62A7">
      <w:pPr>
        <w:pStyle w:val="Titre1"/>
        <w:rPr>
          <w:rStyle w:val="s6"/>
          <w:smallCaps/>
          <w:u w:val="single"/>
          <w:lang w:val="fr-FR"/>
        </w:rPr>
      </w:pPr>
      <w:r w:rsidRPr="008D473B">
        <w:rPr>
          <w:rStyle w:val="s6"/>
          <w:smallCaps/>
          <w:u w:val="single"/>
          <w:lang w:val="fr-FR"/>
        </w:rPr>
        <w:t>2013</w:t>
      </w:r>
      <w:r w:rsidR="00560873" w:rsidRPr="008D473B">
        <w:rPr>
          <w:rStyle w:val="s6"/>
          <w:smallCaps/>
          <w:u w:val="single"/>
          <w:lang w:val="fr-FR"/>
        </w:rPr>
        <w:t>:</w:t>
      </w:r>
      <w:r w:rsidR="00AC092E" w:rsidRPr="008D473B">
        <w:rPr>
          <w:rStyle w:val="s6"/>
          <w:smallCaps/>
          <w:u w:val="single"/>
          <w:lang w:val="fr-FR"/>
        </w:rPr>
        <w:t xml:space="preserve"> 3,1% de croissance publicitaire</w:t>
      </w:r>
    </w:p>
    <w:p w14:paraId="39A8F0DB" w14:textId="77777777" w:rsidR="00006EDE" w:rsidRPr="00AC092E" w:rsidRDefault="00006EDE" w:rsidP="00E50EE3">
      <w:pPr>
        <w:pStyle w:val="s18"/>
        <w:spacing w:before="0" w:beforeAutospacing="0" w:after="0" w:afterAutospacing="0"/>
        <w:rPr>
          <w:rStyle w:val="s6"/>
          <w:rFonts w:ascii="Georgia" w:hAnsi="Georgia"/>
          <w:b/>
          <w:bCs/>
          <w:color w:val="BFBFBF" w:themeColor="background1" w:themeShade="BF"/>
          <w:lang w:val="fr-FR"/>
        </w:rPr>
      </w:pPr>
    </w:p>
    <w:p w14:paraId="4D1C6EE8" w14:textId="5C46DC20" w:rsidR="00AC092E" w:rsidRDefault="00AC092E"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L’économie internationale </w:t>
      </w:r>
      <w:r w:rsidR="000A4CE6">
        <w:rPr>
          <w:rStyle w:val="s14"/>
          <w:rFonts w:ascii="Georgia" w:hAnsi="Georgia"/>
          <w:lang w:val="fr-FR"/>
        </w:rPr>
        <w:t>devrait croitre</w:t>
      </w:r>
      <w:r>
        <w:rPr>
          <w:rStyle w:val="s14"/>
          <w:rFonts w:ascii="Georgia" w:hAnsi="Georgia"/>
          <w:lang w:val="fr-FR"/>
        </w:rPr>
        <w:t xml:space="preserve"> à un rythme modéré en 2013. La croissance du PIB </w:t>
      </w:r>
      <w:r w:rsidR="000A4CE6">
        <w:rPr>
          <w:rStyle w:val="s14"/>
          <w:rFonts w:ascii="Georgia" w:hAnsi="Georgia"/>
          <w:lang w:val="fr-FR"/>
        </w:rPr>
        <w:t>en volume</w:t>
      </w:r>
      <w:r>
        <w:rPr>
          <w:rStyle w:val="s14"/>
          <w:rFonts w:ascii="Georgia" w:hAnsi="Georgia"/>
          <w:lang w:val="fr-FR"/>
        </w:rPr>
        <w:t xml:space="preserve"> sera en moyenne de </w:t>
      </w:r>
      <w:r w:rsidR="000A4CE6">
        <w:rPr>
          <w:rStyle w:val="s14"/>
          <w:rFonts w:ascii="Georgia" w:hAnsi="Georgia"/>
          <w:lang w:val="fr-FR"/>
        </w:rPr>
        <w:t>+</w:t>
      </w:r>
      <w:r>
        <w:rPr>
          <w:rStyle w:val="s14"/>
          <w:rFonts w:ascii="Georgia" w:hAnsi="Georgia"/>
          <w:lang w:val="fr-FR"/>
        </w:rPr>
        <w:t xml:space="preserve">3,3% au niveau mondial, d’après les </w:t>
      </w:r>
      <w:r w:rsidR="000A4CE6">
        <w:rPr>
          <w:rStyle w:val="s14"/>
          <w:rFonts w:ascii="Georgia" w:hAnsi="Georgia"/>
          <w:lang w:val="fr-FR"/>
        </w:rPr>
        <w:t>prévisions</w:t>
      </w:r>
      <w:r>
        <w:rPr>
          <w:rStyle w:val="s14"/>
          <w:rFonts w:ascii="Georgia" w:hAnsi="Georgia"/>
          <w:lang w:val="fr-FR"/>
        </w:rPr>
        <w:t xml:space="preserve"> publié</w:t>
      </w:r>
      <w:r w:rsidR="000A4CE6">
        <w:rPr>
          <w:rStyle w:val="s14"/>
          <w:rFonts w:ascii="Georgia" w:hAnsi="Georgia"/>
          <w:lang w:val="fr-FR"/>
        </w:rPr>
        <w:t>e</w:t>
      </w:r>
      <w:r>
        <w:rPr>
          <w:rStyle w:val="s14"/>
          <w:rFonts w:ascii="Georgia" w:hAnsi="Georgia"/>
          <w:lang w:val="fr-FR"/>
        </w:rPr>
        <w:t xml:space="preserve">s en Octobre par le FMI. Ce pourcentage est en légère baisse par rapport aux prévisions </w:t>
      </w:r>
      <w:r w:rsidR="007E51D8">
        <w:rPr>
          <w:rStyle w:val="s14"/>
          <w:rFonts w:ascii="Georgia" w:hAnsi="Georgia"/>
          <w:lang w:val="fr-FR"/>
        </w:rPr>
        <w:t xml:space="preserve">du FMI </w:t>
      </w:r>
      <w:r>
        <w:rPr>
          <w:rStyle w:val="s14"/>
          <w:rFonts w:ascii="Georgia" w:hAnsi="Georgia"/>
          <w:lang w:val="fr-FR"/>
        </w:rPr>
        <w:t>de juillet</w:t>
      </w:r>
      <w:r w:rsidR="006E2774">
        <w:rPr>
          <w:rStyle w:val="s14"/>
          <w:rFonts w:ascii="Georgia" w:hAnsi="Georgia"/>
          <w:lang w:val="fr-FR"/>
        </w:rPr>
        <w:t xml:space="preserve"> </w:t>
      </w:r>
      <w:r>
        <w:rPr>
          <w:rStyle w:val="s14"/>
          <w:rFonts w:ascii="Georgia" w:hAnsi="Georgia"/>
          <w:lang w:val="fr-FR"/>
        </w:rPr>
        <w:t>(3,5%). Les économies développé</w:t>
      </w:r>
      <w:r w:rsidR="000A4CE6">
        <w:rPr>
          <w:rStyle w:val="s14"/>
          <w:rFonts w:ascii="Georgia" w:hAnsi="Georgia"/>
          <w:lang w:val="fr-FR"/>
        </w:rPr>
        <w:t>e</w:t>
      </w:r>
      <w:r>
        <w:rPr>
          <w:rStyle w:val="s14"/>
          <w:rFonts w:ascii="Georgia" w:hAnsi="Georgia"/>
          <w:lang w:val="fr-FR"/>
        </w:rPr>
        <w:t xml:space="preserve"> </w:t>
      </w:r>
      <w:r w:rsidR="001E2A43">
        <w:rPr>
          <w:rStyle w:val="s14"/>
          <w:rFonts w:ascii="Georgia" w:hAnsi="Georgia"/>
          <w:lang w:val="fr-FR"/>
        </w:rPr>
        <w:t xml:space="preserve">devraient croître de seulement </w:t>
      </w:r>
      <w:r w:rsidR="000A4CE6">
        <w:rPr>
          <w:rStyle w:val="s14"/>
          <w:rFonts w:ascii="Georgia" w:hAnsi="Georgia"/>
          <w:lang w:val="fr-FR"/>
        </w:rPr>
        <w:t>+</w:t>
      </w:r>
      <w:r w:rsidR="001E2A43">
        <w:rPr>
          <w:rStyle w:val="s14"/>
          <w:rFonts w:ascii="Georgia" w:hAnsi="Georgia"/>
          <w:lang w:val="fr-FR"/>
        </w:rPr>
        <w:t xml:space="preserve">1,3%, </w:t>
      </w:r>
      <w:r w:rsidR="000A4CE6">
        <w:rPr>
          <w:rStyle w:val="s14"/>
          <w:rFonts w:ascii="Georgia" w:hAnsi="Georgia"/>
          <w:lang w:val="fr-FR"/>
        </w:rPr>
        <w:t>avec</w:t>
      </w:r>
      <w:r w:rsidR="001E2A43">
        <w:rPr>
          <w:rStyle w:val="s14"/>
          <w:rFonts w:ascii="Georgia" w:hAnsi="Georgia"/>
          <w:lang w:val="fr-FR"/>
        </w:rPr>
        <w:t xml:space="preserve"> une divergence grandissante entre la lente mais régulière reprise aux Etats-Unis (</w:t>
      </w:r>
      <w:r w:rsidR="000A4CE6">
        <w:rPr>
          <w:rStyle w:val="s14"/>
          <w:rFonts w:ascii="Georgia" w:hAnsi="Georgia"/>
          <w:lang w:val="fr-FR"/>
        </w:rPr>
        <w:t>+</w:t>
      </w:r>
      <w:r w:rsidR="001E2A43">
        <w:rPr>
          <w:rStyle w:val="s14"/>
          <w:rFonts w:ascii="Georgia" w:hAnsi="Georgia"/>
          <w:lang w:val="fr-FR"/>
        </w:rPr>
        <w:t xml:space="preserve">2,2% de croissance) et </w:t>
      </w:r>
      <w:r w:rsidR="006E2774">
        <w:rPr>
          <w:rStyle w:val="s14"/>
          <w:rFonts w:ascii="Georgia" w:hAnsi="Georgia"/>
          <w:lang w:val="fr-FR"/>
        </w:rPr>
        <w:t>l’affaiblissement prolongé</w:t>
      </w:r>
      <w:r w:rsidR="001E2A43">
        <w:rPr>
          <w:rStyle w:val="s14"/>
          <w:rFonts w:ascii="Georgia" w:hAnsi="Georgia"/>
          <w:lang w:val="fr-FR"/>
        </w:rPr>
        <w:t xml:space="preserve"> de la zone Euro (-0,4%). Plus récemment, l’OCDE a abaissé ses propres prévisions </w:t>
      </w:r>
      <w:proofErr w:type="gramStart"/>
      <w:r w:rsidR="001E2A43">
        <w:rPr>
          <w:rStyle w:val="s14"/>
          <w:rFonts w:ascii="Georgia" w:hAnsi="Georgia"/>
          <w:lang w:val="fr-FR"/>
        </w:rPr>
        <w:t>à</w:t>
      </w:r>
      <w:proofErr w:type="gramEnd"/>
      <w:r w:rsidR="001E2A43">
        <w:rPr>
          <w:rStyle w:val="s14"/>
          <w:rFonts w:ascii="Georgia" w:hAnsi="Georgia"/>
          <w:lang w:val="fr-FR"/>
        </w:rPr>
        <w:t xml:space="preserve"> </w:t>
      </w:r>
      <w:r w:rsidR="000A4CE6">
        <w:rPr>
          <w:rStyle w:val="s14"/>
          <w:rFonts w:ascii="Georgia" w:hAnsi="Georgia"/>
          <w:lang w:val="fr-FR"/>
        </w:rPr>
        <w:t>+</w:t>
      </w:r>
      <w:r w:rsidR="001E2A43">
        <w:rPr>
          <w:rStyle w:val="s14"/>
          <w:rFonts w:ascii="Georgia" w:hAnsi="Georgia"/>
          <w:lang w:val="fr-FR"/>
        </w:rPr>
        <w:t xml:space="preserve">1,4% parmi ses membres, et </w:t>
      </w:r>
      <w:r w:rsidR="000A4CE6">
        <w:rPr>
          <w:rStyle w:val="s14"/>
          <w:rFonts w:ascii="Georgia" w:hAnsi="Georgia"/>
          <w:lang w:val="fr-FR"/>
        </w:rPr>
        <w:t xml:space="preserve">à </w:t>
      </w:r>
      <w:r w:rsidR="001E2A43">
        <w:rPr>
          <w:rStyle w:val="s14"/>
          <w:rFonts w:ascii="Georgia" w:hAnsi="Georgia"/>
          <w:lang w:val="fr-FR"/>
        </w:rPr>
        <w:t>-0,4% pour la zone Euro.</w:t>
      </w:r>
    </w:p>
    <w:p w14:paraId="041A1ADF" w14:textId="77777777" w:rsidR="00BB708C" w:rsidRDefault="00BB708C" w:rsidP="00CD64F1">
      <w:pPr>
        <w:pStyle w:val="s15"/>
        <w:spacing w:before="0" w:beforeAutospacing="0" w:after="0" w:afterAutospacing="0"/>
        <w:rPr>
          <w:rStyle w:val="s14"/>
          <w:rFonts w:ascii="Georgia" w:hAnsi="Georgia"/>
          <w:lang w:val="fr-FR"/>
        </w:rPr>
      </w:pPr>
    </w:p>
    <w:p w14:paraId="275F1C44" w14:textId="77777777" w:rsidR="008D473B" w:rsidRDefault="008D473B" w:rsidP="00006EDE">
      <w:pPr>
        <w:pStyle w:val="s15"/>
        <w:spacing w:before="0" w:beforeAutospacing="0" w:after="0" w:afterAutospacing="0"/>
        <w:rPr>
          <w:rStyle w:val="s14"/>
          <w:rFonts w:ascii="Georgia" w:hAnsi="Georgia"/>
          <w:lang w:val="fr-FR"/>
        </w:rPr>
      </w:pPr>
    </w:p>
    <w:p w14:paraId="4F4BBC59" w14:textId="5CC6E696" w:rsidR="00A872C3" w:rsidRPr="00AC092E" w:rsidRDefault="00BB708C" w:rsidP="008D473B">
      <w:pPr>
        <w:pStyle w:val="s15"/>
        <w:spacing w:before="0" w:beforeAutospacing="0" w:after="0" w:afterAutospacing="0"/>
        <w:jc w:val="both"/>
        <w:rPr>
          <w:rStyle w:val="s14"/>
          <w:rFonts w:ascii="Georgia" w:hAnsi="Georgia"/>
          <w:lang w:val="fr-FR"/>
        </w:rPr>
      </w:pPr>
      <w:r>
        <w:rPr>
          <w:rStyle w:val="s14"/>
          <w:rFonts w:ascii="Georgia" w:hAnsi="Georgia"/>
          <w:lang w:val="fr-FR"/>
        </w:rPr>
        <w:t>No</w:t>
      </w:r>
      <w:r w:rsidR="00E66A7A">
        <w:rPr>
          <w:rStyle w:val="s14"/>
          <w:rFonts w:ascii="Georgia" w:hAnsi="Georgia"/>
          <w:lang w:val="fr-FR"/>
        </w:rPr>
        <w:t>u</w:t>
      </w:r>
      <w:r>
        <w:rPr>
          <w:rStyle w:val="s14"/>
          <w:rFonts w:ascii="Georgia" w:hAnsi="Georgia"/>
          <w:lang w:val="fr-FR"/>
        </w:rPr>
        <w:t xml:space="preserve">s </w:t>
      </w:r>
      <w:r w:rsidR="00E66A7A">
        <w:rPr>
          <w:rStyle w:val="s14"/>
          <w:rFonts w:ascii="Georgia" w:hAnsi="Georgia"/>
          <w:lang w:val="fr-FR"/>
        </w:rPr>
        <w:t xml:space="preserve">avons révisé nos </w:t>
      </w:r>
      <w:r>
        <w:rPr>
          <w:rStyle w:val="s14"/>
          <w:rFonts w:ascii="Georgia" w:hAnsi="Georgia"/>
          <w:lang w:val="fr-FR"/>
        </w:rPr>
        <w:t xml:space="preserve">prévisions de croissance </w:t>
      </w:r>
      <w:r w:rsidR="007E51D8">
        <w:rPr>
          <w:rStyle w:val="s14"/>
          <w:rFonts w:ascii="Georgia" w:hAnsi="Georgia"/>
          <w:lang w:val="fr-FR"/>
        </w:rPr>
        <w:t>pour les recettes publicitaires d</w:t>
      </w:r>
      <w:r>
        <w:rPr>
          <w:rStyle w:val="s14"/>
          <w:rFonts w:ascii="Georgia" w:hAnsi="Georgia"/>
          <w:lang w:val="fr-FR"/>
        </w:rPr>
        <w:t xml:space="preserve">es </w:t>
      </w:r>
      <w:r w:rsidR="006D4A85">
        <w:rPr>
          <w:rStyle w:val="s14"/>
          <w:rFonts w:ascii="Georgia" w:hAnsi="Georgia"/>
          <w:lang w:val="fr-FR"/>
        </w:rPr>
        <w:t>médias</w:t>
      </w:r>
      <w:r>
        <w:rPr>
          <w:rStyle w:val="s14"/>
          <w:rFonts w:ascii="Georgia" w:hAnsi="Georgia"/>
          <w:lang w:val="fr-FR"/>
        </w:rPr>
        <w:t xml:space="preserve"> en 2013 </w:t>
      </w:r>
      <w:r w:rsidRPr="000A4CE6">
        <w:rPr>
          <w:rStyle w:val="s14"/>
          <w:rFonts w:ascii="Georgia" w:hAnsi="Georgia"/>
          <w:b/>
          <w:lang w:val="fr-FR"/>
        </w:rPr>
        <w:t xml:space="preserve">à </w:t>
      </w:r>
      <w:r w:rsidR="000A4CE6" w:rsidRPr="000A4CE6">
        <w:rPr>
          <w:rStyle w:val="s14"/>
          <w:rFonts w:ascii="Georgia" w:hAnsi="Georgia"/>
          <w:b/>
          <w:lang w:val="fr-FR"/>
        </w:rPr>
        <w:t>+</w:t>
      </w:r>
      <w:r w:rsidRPr="000A4CE6">
        <w:rPr>
          <w:rStyle w:val="s14"/>
          <w:rFonts w:ascii="Georgia" w:hAnsi="Georgia"/>
          <w:b/>
          <w:lang w:val="fr-FR"/>
        </w:rPr>
        <w:t>3,1%,</w:t>
      </w:r>
      <w:r w:rsidR="00E66A7A" w:rsidRPr="000A4CE6">
        <w:rPr>
          <w:rStyle w:val="s14"/>
          <w:rFonts w:ascii="Georgia" w:hAnsi="Georgia"/>
          <w:b/>
          <w:lang w:val="fr-FR"/>
        </w:rPr>
        <w:t xml:space="preserve"> </w:t>
      </w:r>
      <w:r w:rsidR="00E66A7A">
        <w:rPr>
          <w:rStyle w:val="s14"/>
          <w:rFonts w:ascii="Georgia" w:hAnsi="Georgia"/>
          <w:lang w:val="fr-FR"/>
        </w:rPr>
        <w:t xml:space="preserve">contre 4,5% </w:t>
      </w:r>
      <w:r w:rsidR="007E51D8">
        <w:rPr>
          <w:rStyle w:val="s14"/>
          <w:rFonts w:ascii="Georgia" w:hAnsi="Georgia"/>
          <w:lang w:val="fr-FR"/>
        </w:rPr>
        <w:t xml:space="preserve">annoncés </w:t>
      </w:r>
      <w:r w:rsidR="00E66A7A">
        <w:rPr>
          <w:rStyle w:val="s14"/>
          <w:rFonts w:ascii="Georgia" w:hAnsi="Georgia"/>
          <w:lang w:val="fr-FR"/>
        </w:rPr>
        <w:t>en juin.</w:t>
      </w:r>
      <w:r w:rsidR="006D4A85">
        <w:rPr>
          <w:rStyle w:val="s14"/>
          <w:rFonts w:ascii="Georgia" w:hAnsi="Georgia"/>
          <w:lang w:val="fr-FR"/>
        </w:rPr>
        <w:t xml:space="preserve"> </w:t>
      </w:r>
      <w:r w:rsidR="00EF3841">
        <w:rPr>
          <w:rStyle w:val="s14"/>
          <w:rFonts w:ascii="Georgia" w:hAnsi="Georgia"/>
          <w:lang w:val="fr-FR"/>
        </w:rPr>
        <w:t>Sur les 69 marchés analysés</w:t>
      </w:r>
      <w:r w:rsidR="000A4CE6">
        <w:rPr>
          <w:rStyle w:val="s14"/>
          <w:rFonts w:ascii="Georgia" w:hAnsi="Georgia"/>
          <w:lang w:val="fr-FR"/>
        </w:rPr>
        <w:t xml:space="preserve"> par Magna Global</w:t>
      </w:r>
      <w:r w:rsidR="00EF3841">
        <w:rPr>
          <w:rStyle w:val="s14"/>
          <w:rFonts w:ascii="Georgia" w:hAnsi="Georgia"/>
          <w:lang w:val="fr-FR"/>
        </w:rPr>
        <w:t xml:space="preserve">, 57 vont connaître une croissance publicitaire tandis que 12 </w:t>
      </w:r>
      <w:r w:rsidR="000A4CE6">
        <w:rPr>
          <w:rStyle w:val="s14"/>
          <w:rFonts w:ascii="Georgia" w:hAnsi="Georgia"/>
          <w:lang w:val="fr-FR"/>
        </w:rPr>
        <w:t>seront en récession</w:t>
      </w:r>
      <w:r w:rsidR="00EF3841">
        <w:rPr>
          <w:rStyle w:val="s14"/>
          <w:rFonts w:ascii="Georgia" w:hAnsi="Georgia"/>
          <w:lang w:val="fr-FR"/>
        </w:rPr>
        <w:t xml:space="preserve">. C’est mieux qu’en 2012, où 22 pays sur 69 ont affiché une baisse de </w:t>
      </w:r>
      <w:proofErr w:type="gramStart"/>
      <w:r w:rsidR="00EF3841">
        <w:rPr>
          <w:rStyle w:val="s14"/>
          <w:rFonts w:ascii="Georgia" w:hAnsi="Georgia"/>
          <w:lang w:val="fr-FR"/>
        </w:rPr>
        <w:t>leur revenu</w:t>
      </w:r>
      <w:r w:rsidR="000A4CE6">
        <w:rPr>
          <w:rStyle w:val="s14"/>
          <w:rFonts w:ascii="Georgia" w:hAnsi="Georgia"/>
          <w:lang w:val="fr-FR"/>
        </w:rPr>
        <w:t>s</w:t>
      </w:r>
      <w:r w:rsidR="00EF3841">
        <w:rPr>
          <w:rStyle w:val="s14"/>
          <w:rFonts w:ascii="Georgia" w:hAnsi="Georgia"/>
          <w:lang w:val="fr-FR"/>
        </w:rPr>
        <w:t xml:space="preserve"> publicitaire</w:t>
      </w:r>
      <w:r w:rsidR="000A4CE6">
        <w:rPr>
          <w:rStyle w:val="s14"/>
          <w:rFonts w:ascii="Georgia" w:hAnsi="Georgia"/>
          <w:lang w:val="fr-FR"/>
        </w:rPr>
        <w:t>s</w:t>
      </w:r>
      <w:proofErr w:type="gramEnd"/>
      <w:r w:rsidR="00EF3841">
        <w:rPr>
          <w:rStyle w:val="s14"/>
          <w:rFonts w:ascii="Georgia" w:hAnsi="Georgia"/>
          <w:lang w:val="fr-FR"/>
        </w:rPr>
        <w:t>.</w:t>
      </w:r>
    </w:p>
    <w:p w14:paraId="499A1765" w14:textId="77777777" w:rsidR="004A51C7" w:rsidRDefault="004A51C7" w:rsidP="008D473B">
      <w:pPr>
        <w:pStyle w:val="s15"/>
        <w:spacing w:before="0" w:beforeAutospacing="0" w:after="0" w:afterAutospacing="0"/>
        <w:jc w:val="both"/>
        <w:rPr>
          <w:rStyle w:val="s14"/>
          <w:rFonts w:ascii="Georgia" w:hAnsi="Georgia"/>
          <w:lang w:val="fr-FR"/>
        </w:rPr>
      </w:pPr>
    </w:p>
    <w:p w14:paraId="25FC0677" w14:textId="34F4FA73" w:rsidR="009965B8" w:rsidRDefault="009965B8" w:rsidP="008D473B">
      <w:pPr>
        <w:pStyle w:val="s15"/>
        <w:spacing w:before="0" w:beforeAutospacing="0" w:after="0" w:afterAutospacing="0"/>
        <w:jc w:val="both"/>
        <w:rPr>
          <w:rStyle w:val="s14"/>
          <w:rFonts w:ascii="Georgia" w:hAnsi="Georgia"/>
          <w:lang w:val="fr-FR"/>
        </w:rPr>
      </w:pPr>
      <w:r w:rsidRPr="000A4CE6">
        <w:rPr>
          <w:rStyle w:val="s14"/>
          <w:rFonts w:ascii="Georgia" w:hAnsi="Georgia"/>
          <w:b/>
          <w:lang w:val="fr-FR"/>
        </w:rPr>
        <w:t>L’Europe occidentale</w:t>
      </w:r>
      <w:r>
        <w:rPr>
          <w:rStyle w:val="s14"/>
          <w:rFonts w:ascii="Georgia" w:hAnsi="Georgia"/>
          <w:lang w:val="fr-FR"/>
        </w:rPr>
        <w:t xml:space="preserve"> continue de</w:t>
      </w:r>
      <w:r w:rsidR="006A5346">
        <w:rPr>
          <w:rStyle w:val="s14"/>
          <w:rFonts w:ascii="Georgia" w:hAnsi="Georgia"/>
          <w:lang w:val="fr-FR"/>
        </w:rPr>
        <w:t xml:space="preserve"> pâtir </w:t>
      </w:r>
      <w:r w:rsidR="00B34625">
        <w:rPr>
          <w:rStyle w:val="s14"/>
          <w:rFonts w:ascii="Georgia" w:hAnsi="Georgia"/>
          <w:lang w:val="fr-FR"/>
        </w:rPr>
        <w:t>d’une conjoncture économique difficile et des politiques d’austérité</w:t>
      </w:r>
      <w:r w:rsidR="006A5346">
        <w:rPr>
          <w:rStyle w:val="s14"/>
          <w:rFonts w:ascii="Georgia" w:hAnsi="Georgia"/>
          <w:lang w:val="fr-FR"/>
        </w:rPr>
        <w:t>. Alors que la crise fiscale</w:t>
      </w:r>
      <w:r w:rsidR="00B34625">
        <w:rPr>
          <w:rStyle w:val="s14"/>
          <w:rFonts w:ascii="Georgia" w:hAnsi="Georgia"/>
          <w:lang w:val="fr-FR"/>
        </w:rPr>
        <w:t xml:space="preserve"> plane toujours, les marchés publicitaires </w:t>
      </w:r>
      <w:r w:rsidR="000A4CE6">
        <w:rPr>
          <w:rStyle w:val="s14"/>
          <w:rFonts w:ascii="Georgia" w:hAnsi="Georgia"/>
          <w:lang w:val="fr-FR"/>
        </w:rPr>
        <w:t xml:space="preserve">combinés </w:t>
      </w:r>
      <w:r w:rsidR="00B34625">
        <w:rPr>
          <w:rStyle w:val="s14"/>
          <w:rFonts w:ascii="Georgia" w:hAnsi="Georgia"/>
          <w:lang w:val="fr-FR"/>
        </w:rPr>
        <w:t xml:space="preserve">de l’Espagne, de l’Italie, du Portugal et de la Grèce </w:t>
      </w:r>
      <w:r w:rsidR="000A4CE6">
        <w:rPr>
          <w:rStyle w:val="s14"/>
          <w:rFonts w:ascii="Georgia" w:hAnsi="Georgia"/>
          <w:lang w:val="fr-FR"/>
        </w:rPr>
        <w:t>ont baissé de</w:t>
      </w:r>
      <w:r w:rsidR="00B34625">
        <w:rPr>
          <w:rStyle w:val="s14"/>
          <w:rFonts w:ascii="Georgia" w:hAnsi="Georgia"/>
          <w:lang w:val="fr-FR"/>
        </w:rPr>
        <w:t xml:space="preserve"> 34% </w:t>
      </w:r>
      <w:r w:rsidR="000A4CE6">
        <w:rPr>
          <w:rStyle w:val="s14"/>
          <w:rFonts w:ascii="Georgia" w:hAnsi="Georgia"/>
          <w:lang w:val="fr-FR"/>
        </w:rPr>
        <w:t>par rapport à leur niveau de 2007, et ces marchés</w:t>
      </w:r>
      <w:r w:rsidR="00B34625">
        <w:rPr>
          <w:rStyle w:val="s14"/>
          <w:rFonts w:ascii="Georgia" w:hAnsi="Georgia"/>
          <w:lang w:val="fr-FR"/>
        </w:rPr>
        <w:t xml:space="preserve"> devraient encore baisser pendant au moins un an (-0,9%). A l’instar de 2012, nous nous attendons à ce que le Royaume-Uni et l’Allemagne se développent à nouveau, bien </w:t>
      </w:r>
      <w:r w:rsidR="007E51D8">
        <w:rPr>
          <w:rStyle w:val="s14"/>
          <w:rFonts w:ascii="Georgia" w:hAnsi="Georgia"/>
          <w:lang w:val="fr-FR"/>
        </w:rPr>
        <w:t>qu’au ralenti</w:t>
      </w:r>
      <w:r w:rsidR="002F4D25">
        <w:rPr>
          <w:rStyle w:val="s14"/>
          <w:rFonts w:ascii="Georgia" w:hAnsi="Georgia"/>
          <w:lang w:val="fr-FR"/>
        </w:rPr>
        <w:t xml:space="preserve"> (de </w:t>
      </w:r>
      <w:r w:rsidR="000A4CE6">
        <w:rPr>
          <w:rStyle w:val="s14"/>
          <w:rFonts w:ascii="Georgia" w:hAnsi="Georgia"/>
          <w:lang w:val="fr-FR"/>
        </w:rPr>
        <w:t>+</w:t>
      </w:r>
      <w:r w:rsidR="002F4D25">
        <w:rPr>
          <w:rStyle w:val="s14"/>
          <w:rFonts w:ascii="Georgia" w:hAnsi="Georgia"/>
          <w:lang w:val="fr-FR"/>
        </w:rPr>
        <w:t xml:space="preserve">1,9% et </w:t>
      </w:r>
      <w:r w:rsidR="000A4CE6">
        <w:rPr>
          <w:rStyle w:val="s14"/>
          <w:rFonts w:ascii="Georgia" w:hAnsi="Georgia"/>
          <w:lang w:val="fr-FR"/>
        </w:rPr>
        <w:t>+</w:t>
      </w:r>
      <w:r w:rsidR="002F4D25">
        <w:rPr>
          <w:rStyle w:val="s14"/>
          <w:rFonts w:ascii="Georgia" w:hAnsi="Georgia"/>
          <w:lang w:val="fr-FR"/>
        </w:rPr>
        <w:t xml:space="preserve">0,8% respectivement). Ceci ne sera toutefois pas suffisant pour relancer la croissance dans toute la région en 2013 (-0,1%). Nous prévoyons un retour de la croissance publicitaire en 2014 (1,6%). </w:t>
      </w:r>
      <w:r w:rsidR="002F4D25" w:rsidRPr="000A4CE6">
        <w:rPr>
          <w:rStyle w:val="s14"/>
          <w:rFonts w:ascii="Georgia" w:hAnsi="Georgia"/>
          <w:b/>
          <w:lang w:val="fr-FR"/>
        </w:rPr>
        <w:t>L’Europe centrale et orientale</w:t>
      </w:r>
      <w:r w:rsidR="002F4D25">
        <w:rPr>
          <w:rStyle w:val="s14"/>
          <w:rFonts w:ascii="Georgia" w:hAnsi="Georgia"/>
          <w:lang w:val="fr-FR"/>
        </w:rPr>
        <w:t xml:space="preserve"> sera plus dynamique,  avec une croissance moyenne de </w:t>
      </w:r>
      <w:r w:rsidR="000A4CE6">
        <w:rPr>
          <w:rStyle w:val="s14"/>
          <w:rFonts w:ascii="Georgia" w:hAnsi="Georgia"/>
          <w:lang w:val="fr-FR"/>
        </w:rPr>
        <w:t>+</w:t>
      </w:r>
      <w:r w:rsidR="002F4D25">
        <w:rPr>
          <w:rStyle w:val="s14"/>
          <w:rFonts w:ascii="Georgia" w:hAnsi="Georgia"/>
          <w:lang w:val="fr-FR"/>
        </w:rPr>
        <w:t>7%,  tirée</w:t>
      </w:r>
      <w:r w:rsidR="005B09DC">
        <w:rPr>
          <w:rStyle w:val="s14"/>
          <w:rFonts w:ascii="Georgia" w:hAnsi="Georgia"/>
          <w:lang w:val="fr-FR"/>
        </w:rPr>
        <w:t xml:space="preserve"> par les marché</w:t>
      </w:r>
      <w:r w:rsidR="002F4D25">
        <w:rPr>
          <w:rStyle w:val="s14"/>
          <w:rFonts w:ascii="Georgia" w:hAnsi="Georgia"/>
          <w:lang w:val="fr-FR"/>
        </w:rPr>
        <w:t xml:space="preserve">s robustes de la Russie et de la </w:t>
      </w:r>
      <w:r w:rsidR="002F4D25">
        <w:rPr>
          <w:rStyle w:val="s14"/>
          <w:rFonts w:ascii="Georgia" w:hAnsi="Georgia"/>
          <w:lang w:val="fr-FR"/>
        </w:rPr>
        <w:lastRenderedPageBreak/>
        <w:t>Turquie ; la Pologne</w:t>
      </w:r>
      <w:r w:rsidR="005B09DC">
        <w:rPr>
          <w:rStyle w:val="s14"/>
          <w:rFonts w:ascii="Georgia" w:hAnsi="Georgia"/>
          <w:lang w:val="fr-FR"/>
        </w:rPr>
        <w:t xml:space="preserve"> continuera de stagner. Apres les</w:t>
      </w:r>
      <w:r w:rsidR="002F4D25">
        <w:rPr>
          <w:rStyle w:val="s14"/>
          <w:rFonts w:ascii="Georgia" w:hAnsi="Georgia"/>
          <w:lang w:val="fr-FR"/>
        </w:rPr>
        <w:t xml:space="preserve"> </w:t>
      </w:r>
      <w:r w:rsidR="007E51D8">
        <w:rPr>
          <w:rStyle w:val="s14"/>
          <w:rFonts w:ascii="Georgia" w:hAnsi="Georgia"/>
          <w:lang w:val="fr-FR"/>
        </w:rPr>
        <w:t>manifestations</w:t>
      </w:r>
      <w:r w:rsidR="005B09DC">
        <w:rPr>
          <w:rStyle w:val="s14"/>
          <w:rFonts w:ascii="Georgia" w:hAnsi="Georgia"/>
          <w:lang w:val="fr-FR"/>
        </w:rPr>
        <w:t xml:space="preserve"> </w:t>
      </w:r>
      <w:r w:rsidR="002F4D25">
        <w:rPr>
          <w:rStyle w:val="s14"/>
          <w:rFonts w:ascii="Georgia" w:hAnsi="Georgia"/>
          <w:lang w:val="fr-FR"/>
        </w:rPr>
        <w:t xml:space="preserve">du </w:t>
      </w:r>
      <w:r w:rsidR="005B09DC">
        <w:rPr>
          <w:rStyle w:val="s14"/>
          <w:rFonts w:ascii="Georgia" w:hAnsi="Georgia"/>
          <w:lang w:val="fr-FR"/>
        </w:rPr>
        <w:t>« printemps a</w:t>
      </w:r>
      <w:r w:rsidR="002F4D25">
        <w:rPr>
          <w:rStyle w:val="s14"/>
          <w:rFonts w:ascii="Georgia" w:hAnsi="Georgia"/>
          <w:lang w:val="fr-FR"/>
        </w:rPr>
        <w:t>rabe</w:t>
      </w:r>
      <w:r w:rsidR="005B09DC">
        <w:rPr>
          <w:rStyle w:val="s14"/>
          <w:rFonts w:ascii="Georgia" w:hAnsi="Georgia"/>
          <w:lang w:val="fr-FR"/>
        </w:rPr>
        <w:t> »</w:t>
      </w:r>
      <w:r w:rsidR="002F4D25">
        <w:rPr>
          <w:rStyle w:val="s14"/>
          <w:rFonts w:ascii="Georgia" w:hAnsi="Georgia"/>
          <w:lang w:val="fr-FR"/>
        </w:rPr>
        <w:t xml:space="preserve"> de 2011 et la forte reprise de 2012 (</w:t>
      </w:r>
      <w:r w:rsidR="000A4CE6">
        <w:rPr>
          <w:rStyle w:val="s14"/>
          <w:rFonts w:ascii="Georgia" w:hAnsi="Georgia"/>
          <w:lang w:val="fr-FR"/>
        </w:rPr>
        <w:t>+</w:t>
      </w:r>
      <w:r w:rsidR="005B09DC">
        <w:rPr>
          <w:rStyle w:val="s14"/>
          <w:rFonts w:ascii="Georgia" w:hAnsi="Georgia"/>
          <w:lang w:val="fr-FR"/>
        </w:rPr>
        <w:t>10,4%), les marché</w:t>
      </w:r>
      <w:r w:rsidR="002F4D25">
        <w:rPr>
          <w:rStyle w:val="s14"/>
          <w:rFonts w:ascii="Georgia" w:hAnsi="Georgia"/>
          <w:lang w:val="fr-FR"/>
        </w:rPr>
        <w:t>s du Moye</w:t>
      </w:r>
      <w:r w:rsidR="005B09DC">
        <w:rPr>
          <w:rStyle w:val="s14"/>
          <w:rFonts w:ascii="Georgia" w:hAnsi="Georgia"/>
          <w:lang w:val="fr-FR"/>
        </w:rPr>
        <w:t>n-Orient-</w:t>
      </w:r>
      <w:r w:rsidR="002F4D25">
        <w:rPr>
          <w:rStyle w:val="s14"/>
          <w:rFonts w:ascii="Georgia" w:hAnsi="Georgia"/>
          <w:lang w:val="fr-FR"/>
        </w:rPr>
        <w:t xml:space="preserve">Afrique vont croitre d’environ </w:t>
      </w:r>
      <w:r w:rsidR="000A4CE6">
        <w:rPr>
          <w:rStyle w:val="s14"/>
          <w:rFonts w:ascii="Georgia" w:hAnsi="Georgia"/>
          <w:lang w:val="fr-FR"/>
        </w:rPr>
        <w:t>+</w:t>
      </w:r>
      <w:r w:rsidR="002F4D25">
        <w:rPr>
          <w:rStyle w:val="s14"/>
          <w:rFonts w:ascii="Georgia" w:hAnsi="Georgia"/>
          <w:lang w:val="fr-FR"/>
        </w:rPr>
        <w:t>6,4%</w:t>
      </w:r>
      <w:r w:rsidR="005B09DC">
        <w:rPr>
          <w:rStyle w:val="s14"/>
          <w:rFonts w:ascii="Georgia" w:hAnsi="Georgia"/>
          <w:lang w:val="fr-FR"/>
        </w:rPr>
        <w:t>, rehaussé</w:t>
      </w:r>
      <w:r w:rsidR="002F4D25">
        <w:rPr>
          <w:rStyle w:val="s14"/>
          <w:rFonts w:ascii="Georgia" w:hAnsi="Georgia"/>
          <w:lang w:val="fr-FR"/>
        </w:rPr>
        <w:t>s par l’Egypte (</w:t>
      </w:r>
      <w:r w:rsidR="000A4CE6">
        <w:rPr>
          <w:rStyle w:val="s14"/>
          <w:rFonts w:ascii="Georgia" w:hAnsi="Georgia"/>
          <w:lang w:val="fr-FR"/>
        </w:rPr>
        <w:t>+</w:t>
      </w:r>
      <w:r w:rsidR="002F4D25">
        <w:rPr>
          <w:rStyle w:val="s14"/>
          <w:rFonts w:ascii="Georgia" w:hAnsi="Georgia"/>
          <w:lang w:val="fr-FR"/>
        </w:rPr>
        <w:t>9,1%) et l’Afrique du Sud (</w:t>
      </w:r>
      <w:r w:rsidR="000A4CE6">
        <w:rPr>
          <w:rStyle w:val="s14"/>
          <w:rFonts w:ascii="Georgia" w:hAnsi="Georgia"/>
          <w:lang w:val="fr-FR"/>
        </w:rPr>
        <w:t>+</w:t>
      </w:r>
      <w:r w:rsidR="002F4D25">
        <w:rPr>
          <w:rStyle w:val="s14"/>
          <w:rFonts w:ascii="Georgia" w:hAnsi="Georgia"/>
          <w:lang w:val="fr-FR"/>
        </w:rPr>
        <w:t>7,1%).</w:t>
      </w:r>
    </w:p>
    <w:p w14:paraId="674E5C4F" w14:textId="77777777" w:rsidR="005B09DC" w:rsidRDefault="005B09DC" w:rsidP="008D473B">
      <w:pPr>
        <w:pStyle w:val="s15"/>
        <w:spacing w:before="0" w:beforeAutospacing="0" w:after="0" w:afterAutospacing="0"/>
        <w:jc w:val="both"/>
        <w:rPr>
          <w:rStyle w:val="s14"/>
          <w:rFonts w:ascii="Georgia" w:hAnsi="Georgia"/>
          <w:lang w:val="fr-FR"/>
        </w:rPr>
      </w:pPr>
    </w:p>
    <w:p w14:paraId="44382C0C" w14:textId="7D209CD4" w:rsidR="005B09DC" w:rsidRDefault="005B09DC"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En </w:t>
      </w:r>
      <w:r w:rsidRPr="000A4CE6">
        <w:rPr>
          <w:rStyle w:val="s14"/>
          <w:rFonts w:ascii="Georgia" w:hAnsi="Georgia"/>
          <w:b/>
          <w:lang w:val="fr-FR"/>
        </w:rPr>
        <w:t>Asie</w:t>
      </w:r>
      <w:r>
        <w:rPr>
          <w:rStyle w:val="s14"/>
          <w:rFonts w:ascii="Georgia" w:hAnsi="Georgia"/>
          <w:lang w:val="fr-FR"/>
        </w:rPr>
        <w:t xml:space="preserve">, nous nous attendons à ce que l’Inde ré-accélère après son ralentissement temporaire de 2012, à </w:t>
      </w:r>
      <w:r w:rsidR="000A4CE6">
        <w:rPr>
          <w:rStyle w:val="s14"/>
          <w:rFonts w:ascii="Georgia" w:hAnsi="Georgia"/>
          <w:lang w:val="fr-FR"/>
        </w:rPr>
        <w:t>+</w:t>
      </w:r>
      <w:r>
        <w:rPr>
          <w:rStyle w:val="s14"/>
          <w:rFonts w:ascii="Georgia" w:hAnsi="Georgia"/>
          <w:lang w:val="fr-FR"/>
        </w:rPr>
        <w:t xml:space="preserve">8,7%. </w:t>
      </w:r>
      <w:r w:rsidR="000A4CE6">
        <w:rPr>
          <w:rStyle w:val="s14"/>
          <w:rFonts w:ascii="Georgia" w:hAnsi="Georgia"/>
          <w:lang w:val="fr-FR"/>
        </w:rPr>
        <w:t>Dans le cadre d’</w:t>
      </w:r>
      <w:r w:rsidR="007E51D8">
        <w:rPr>
          <w:rStyle w:val="s14"/>
          <w:rFonts w:ascii="Georgia" w:hAnsi="Georgia"/>
          <w:lang w:val="fr-FR"/>
        </w:rPr>
        <w:t>un</w:t>
      </w:r>
      <w:r>
        <w:rPr>
          <w:rStyle w:val="s14"/>
          <w:rFonts w:ascii="Georgia" w:hAnsi="Georgia"/>
          <w:lang w:val="fr-FR"/>
        </w:rPr>
        <w:t xml:space="preserve"> « atterrissage en douceur » de l’économie </w:t>
      </w:r>
      <w:r w:rsidR="000A4CE6">
        <w:rPr>
          <w:rStyle w:val="s14"/>
          <w:rFonts w:ascii="Georgia" w:hAnsi="Georgia"/>
          <w:lang w:val="fr-FR"/>
        </w:rPr>
        <w:t xml:space="preserve">chinoise </w:t>
      </w:r>
      <w:r>
        <w:rPr>
          <w:rStyle w:val="s14"/>
          <w:rFonts w:ascii="Georgia" w:hAnsi="Georgia"/>
          <w:lang w:val="fr-FR"/>
        </w:rPr>
        <w:t xml:space="preserve">(de 7% à 8% de croissance du PIB), le secteur publicitaire augmentera de </w:t>
      </w:r>
      <w:r w:rsidR="000A4CE6">
        <w:rPr>
          <w:rStyle w:val="s14"/>
          <w:rFonts w:ascii="Georgia" w:hAnsi="Georgia"/>
          <w:lang w:val="fr-FR"/>
        </w:rPr>
        <w:t>+</w:t>
      </w:r>
      <w:r>
        <w:rPr>
          <w:rStyle w:val="s14"/>
          <w:rFonts w:ascii="Georgia" w:hAnsi="Georgia"/>
          <w:lang w:val="fr-FR"/>
        </w:rPr>
        <w:t>9,5% en 2013 avant de revenir à une croissance à deux chiffres dès 2014.</w:t>
      </w:r>
      <w:r w:rsidR="00B95077">
        <w:rPr>
          <w:rStyle w:val="s14"/>
          <w:rFonts w:ascii="Georgia" w:hAnsi="Georgia"/>
          <w:lang w:val="fr-FR"/>
        </w:rPr>
        <w:t xml:space="preserve"> Deux facteurs continueront de soutenir la </w:t>
      </w:r>
      <w:r w:rsidR="000A4CE6">
        <w:rPr>
          <w:rStyle w:val="s14"/>
          <w:rFonts w:ascii="Georgia" w:hAnsi="Georgia"/>
          <w:lang w:val="fr-FR"/>
        </w:rPr>
        <w:t xml:space="preserve">croissance publicitaire en </w:t>
      </w:r>
      <w:r w:rsidR="00B95077">
        <w:rPr>
          <w:rStyle w:val="s14"/>
          <w:rFonts w:ascii="Georgia" w:hAnsi="Georgia"/>
          <w:lang w:val="fr-FR"/>
        </w:rPr>
        <w:t xml:space="preserve">Chine et l’Inde </w:t>
      </w:r>
      <w:r w:rsidR="000A4CE6">
        <w:rPr>
          <w:rStyle w:val="s14"/>
          <w:rFonts w:ascii="Georgia" w:hAnsi="Georgia"/>
          <w:lang w:val="fr-FR"/>
        </w:rPr>
        <w:t>dans le</w:t>
      </w:r>
      <w:r w:rsidR="00B95077">
        <w:rPr>
          <w:rStyle w:val="s14"/>
          <w:rFonts w:ascii="Georgia" w:hAnsi="Georgia"/>
          <w:lang w:val="fr-FR"/>
        </w:rPr>
        <w:t xml:space="preserve"> long terme : un faible ratio publicitaire par habitant (28 dollar par an et par habitant</w:t>
      </w:r>
      <w:r w:rsidR="000A4CE6">
        <w:rPr>
          <w:rStyle w:val="s14"/>
          <w:rFonts w:ascii="Georgia" w:hAnsi="Georgia"/>
          <w:lang w:val="fr-FR"/>
        </w:rPr>
        <w:t xml:space="preserve"> en Chine, et 6 dollars en Inde, contre </w:t>
      </w:r>
      <w:r w:rsidR="00B95077">
        <w:rPr>
          <w:rStyle w:val="s14"/>
          <w:rFonts w:ascii="Georgia" w:hAnsi="Georgia"/>
          <w:lang w:val="fr-FR"/>
        </w:rPr>
        <w:t xml:space="preserve">une moyenne </w:t>
      </w:r>
      <w:proofErr w:type="spellStart"/>
      <w:r w:rsidR="000A4CE6">
        <w:rPr>
          <w:rStyle w:val="s14"/>
          <w:rFonts w:ascii="Georgia" w:hAnsi="Georgia"/>
          <w:lang w:val="fr-FR"/>
        </w:rPr>
        <w:t>modiale</w:t>
      </w:r>
      <w:proofErr w:type="spellEnd"/>
      <w:r w:rsidR="00B95077">
        <w:rPr>
          <w:rStyle w:val="s14"/>
          <w:rFonts w:ascii="Georgia" w:hAnsi="Georgia"/>
          <w:lang w:val="fr-FR"/>
        </w:rPr>
        <w:t xml:space="preserve"> de 91 dollars) ; et la nécessité </w:t>
      </w:r>
      <w:r w:rsidR="00A95698">
        <w:rPr>
          <w:rStyle w:val="s14"/>
          <w:rFonts w:ascii="Georgia" w:hAnsi="Georgia"/>
          <w:lang w:val="fr-FR"/>
        </w:rPr>
        <w:t xml:space="preserve">pour les annonceurs </w:t>
      </w:r>
      <w:r w:rsidR="000A4CE6">
        <w:rPr>
          <w:rStyle w:val="s14"/>
          <w:rFonts w:ascii="Georgia" w:hAnsi="Georgia"/>
          <w:lang w:val="fr-FR"/>
        </w:rPr>
        <w:t>internationaux</w:t>
      </w:r>
      <w:r w:rsidR="00A95698">
        <w:rPr>
          <w:rStyle w:val="s14"/>
          <w:rFonts w:ascii="Georgia" w:hAnsi="Georgia"/>
          <w:lang w:val="fr-FR"/>
        </w:rPr>
        <w:t xml:space="preserve"> </w:t>
      </w:r>
      <w:r w:rsidR="00B95077">
        <w:rPr>
          <w:rStyle w:val="s14"/>
          <w:rFonts w:ascii="Georgia" w:hAnsi="Georgia"/>
          <w:lang w:val="fr-FR"/>
        </w:rPr>
        <w:t>d</w:t>
      </w:r>
      <w:r w:rsidR="00A95698">
        <w:rPr>
          <w:rStyle w:val="s14"/>
          <w:rFonts w:ascii="Georgia" w:hAnsi="Georgia"/>
          <w:lang w:val="fr-FR"/>
        </w:rPr>
        <w:t xml:space="preserve">e </w:t>
      </w:r>
      <w:r w:rsidR="00127FC8">
        <w:rPr>
          <w:rStyle w:val="s14"/>
          <w:rFonts w:ascii="Georgia" w:hAnsi="Georgia"/>
          <w:lang w:val="fr-FR"/>
        </w:rPr>
        <w:t>séduire</w:t>
      </w:r>
      <w:r w:rsidR="00B95077">
        <w:rPr>
          <w:rStyle w:val="s14"/>
          <w:rFonts w:ascii="Georgia" w:hAnsi="Georgia"/>
          <w:lang w:val="fr-FR"/>
        </w:rPr>
        <w:t xml:space="preserve"> les classes moyennes montantes</w:t>
      </w:r>
      <w:r w:rsidR="00A95698">
        <w:rPr>
          <w:rStyle w:val="s14"/>
          <w:rFonts w:ascii="Georgia" w:hAnsi="Georgia"/>
          <w:lang w:val="fr-FR"/>
        </w:rPr>
        <w:t xml:space="preserve">, de saisir la fenêtre d’opportunité </w:t>
      </w:r>
      <w:r w:rsidR="000A4CE6">
        <w:rPr>
          <w:rStyle w:val="s14"/>
          <w:rFonts w:ascii="Georgia" w:hAnsi="Georgia"/>
          <w:lang w:val="fr-FR"/>
        </w:rPr>
        <w:t>pour conquérir des positions de leadership pour leurs marques</w:t>
      </w:r>
      <w:r w:rsidR="00A95698">
        <w:rPr>
          <w:rStyle w:val="s14"/>
          <w:rFonts w:ascii="Georgia" w:hAnsi="Georgia"/>
          <w:lang w:val="fr-FR"/>
        </w:rPr>
        <w:t xml:space="preserve">, </w:t>
      </w:r>
      <w:r w:rsidR="00127FC8">
        <w:rPr>
          <w:rStyle w:val="s14"/>
          <w:rFonts w:ascii="Georgia" w:hAnsi="Georgia"/>
          <w:lang w:val="fr-FR"/>
        </w:rPr>
        <w:t>sachant</w:t>
      </w:r>
      <w:r w:rsidR="00A95698">
        <w:rPr>
          <w:rStyle w:val="s14"/>
          <w:rFonts w:ascii="Georgia" w:hAnsi="Georgia"/>
          <w:lang w:val="fr-FR"/>
        </w:rPr>
        <w:t xml:space="preserve"> que seules quelques marques occidentales sont susceptibles de </w:t>
      </w:r>
      <w:r w:rsidR="00127FC8">
        <w:rPr>
          <w:rStyle w:val="s14"/>
          <w:rFonts w:ascii="Georgia" w:hAnsi="Georgia"/>
          <w:lang w:val="fr-FR"/>
        </w:rPr>
        <w:t>rester leaders</w:t>
      </w:r>
      <w:r w:rsidR="00A95698">
        <w:rPr>
          <w:rStyle w:val="s14"/>
          <w:rFonts w:ascii="Georgia" w:hAnsi="Georgia"/>
          <w:lang w:val="fr-FR"/>
        </w:rPr>
        <w:t xml:space="preserve"> dans le long terme. Le fait que, par exemple, les ventes de voitures </w:t>
      </w:r>
      <w:r w:rsidR="00286B28">
        <w:rPr>
          <w:rStyle w:val="s14"/>
          <w:rFonts w:ascii="Georgia" w:hAnsi="Georgia"/>
          <w:lang w:val="fr-FR"/>
        </w:rPr>
        <w:t>aient</w:t>
      </w:r>
      <w:r w:rsidR="00A95698">
        <w:rPr>
          <w:rStyle w:val="s14"/>
          <w:rFonts w:ascii="Georgia" w:hAnsi="Georgia"/>
          <w:lang w:val="fr-FR"/>
        </w:rPr>
        <w:t xml:space="preserve"> temporairement ralenties en Chine, ne signifie pas que les constructeurs automobiles </w:t>
      </w:r>
      <w:proofErr w:type="gramStart"/>
      <w:r w:rsidR="00127FC8">
        <w:rPr>
          <w:rStyle w:val="s14"/>
          <w:rFonts w:ascii="Georgia" w:hAnsi="Georgia"/>
          <w:lang w:val="fr-FR"/>
        </w:rPr>
        <w:t>européen</w:t>
      </w:r>
      <w:proofErr w:type="gramEnd"/>
      <w:r w:rsidR="00127FC8">
        <w:rPr>
          <w:rStyle w:val="s14"/>
          <w:rFonts w:ascii="Georgia" w:hAnsi="Georgia"/>
          <w:lang w:val="fr-FR"/>
        </w:rPr>
        <w:t xml:space="preserve">, japonais et américains </w:t>
      </w:r>
      <w:r w:rsidR="00A95698">
        <w:rPr>
          <w:rStyle w:val="s14"/>
          <w:rFonts w:ascii="Georgia" w:hAnsi="Georgia"/>
          <w:lang w:val="fr-FR"/>
        </w:rPr>
        <w:t>vont réduire leur</w:t>
      </w:r>
      <w:r w:rsidR="00127FC8">
        <w:rPr>
          <w:rStyle w:val="s14"/>
          <w:rFonts w:ascii="Georgia" w:hAnsi="Georgia"/>
          <w:lang w:val="fr-FR"/>
        </w:rPr>
        <w:t>s</w:t>
      </w:r>
      <w:r w:rsidR="00A95698">
        <w:rPr>
          <w:rStyle w:val="s14"/>
          <w:rFonts w:ascii="Georgia" w:hAnsi="Georgia"/>
          <w:lang w:val="fr-FR"/>
        </w:rPr>
        <w:t xml:space="preserve"> investissement</w:t>
      </w:r>
      <w:r w:rsidR="00127FC8">
        <w:rPr>
          <w:rStyle w:val="s14"/>
          <w:rFonts w:ascii="Georgia" w:hAnsi="Georgia"/>
          <w:lang w:val="fr-FR"/>
        </w:rPr>
        <w:t>s</w:t>
      </w:r>
      <w:r w:rsidR="00A95698">
        <w:rPr>
          <w:rStyle w:val="s14"/>
          <w:rFonts w:ascii="Georgia" w:hAnsi="Georgia"/>
          <w:lang w:val="fr-FR"/>
        </w:rPr>
        <w:t xml:space="preserve"> marketing dans le moyen terme ; le combat pour le leadership va se poursuivre.</w:t>
      </w:r>
    </w:p>
    <w:p w14:paraId="4A1C3A4A" w14:textId="77777777" w:rsidR="00286B28" w:rsidRDefault="00286B28" w:rsidP="008D473B">
      <w:pPr>
        <w:pStyle w:val="s15"/>
        <w:spacing w:before="0" w:beforeAutospacing="0" w:after="0" w:afterAutospacing="0"/>
        <w:jc w:val="both"/>
        <w:rPr>
          <w:rStyle w:val="s14"/>
          <w:rFonts w:ascii="Georgia" w:hAnsi="Georgia"/>
          <w:lang w:val="fr-FR"/>
        </w:rPr>
      </w:pPr>
    </w:p>
    <w:p w14:paraId="37F51574" w14:textId="6CA838D6" w:rsidR="00286B28" w:rsidRDefault="00286B28"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Dans le reste de l’Asie, nous envisageons un retour à la stagnation </w:t>
      </w:r>
      <w:r w:rsidR="00127FC8">
        <w:rPr>
          <w:rStyle w:val="s14"/>
          <w:rFonts w:ascii="Georgia" w:hAnsi="Georgia"/>
          <w:lang w:val="fr-FR"/>
        </w:rPr>
        <w:t xml:space="preserve">au Japon </w:t>
      </w:r>
      <w:r>
        <w:rPr>
          <w:rStyle w:val="s14"/>
          <w:rFonts w:ascii="Georgia" w:hAnsi="Georgia"/>
          <w:lang w:val="fr-FR"/>
        </w:rPr>
        <w:t>(</w:t>
      </w:r>
      <w:r w:rsidR="00127FC8">
        <w:rPr>
          <w:rStyle w:val="s14"/>
          <w:rFonts w:ascii="Georgia" w:hAnsi="Georgia"/>
          <w:lang w:val="fr-FR"/>
        </w:rPr>
        <w:t>+</w:t>
      </w:r>
      <w:r>
        <w:rPr>
          <w:rStyle w:val="s14"/>
          <w:rFonts w:ascii="Georgia" w:hAnsi="Georgia"/>
          <w:lang w:val="fr-FR"/>
        </w:rPr>
        <w:t xml:space="preserve">0,2%) </w:t>
      </w:r>
      <w:r w:rsidR="00127FC8">
        <w:rPr>
          <w:rStyle w:val="s14"/>
          <w:rFonts w:ascii="Georgia" w:hAnsi="Georgia"/>
          <w:lang w:val="fr-FR"/>
        </w:rPr>
        <w:t>en raison du</w:t>
      </w:r>
      <w:r>
        <w:rPr>
          <w:rStyle w:val="s14"/>
          <w:rFonts w:ascii="Georgia" w:hAnsi="Georgia"/>
          <w:lang w:val="fr-FR"/>
        </w:rPr>
        <w:t xml:space="preserve"> ralentissement économique; l’Australie affichera une croissance modeste (</w:t>
      </w:r>
      <w:r w:rsidR="00127FC8">
        <w:rPr>
          <w:rStyle w:val="s14"/>
          <w:rFonts w:ascii="Georgia" w:hAnsi="Georgia"/>
          <w:lang w:val="fr-FR"/>
        </w:rPr>
        <w:t>+</w:t>
      </w:r>
      <w:r>
        <w:rPr>
          <w:rStyle w:val="s14"/>
          <w:rFonts w:ascii="Georgia" w:hAnsi="Georgia"/>
          <w:lang w:val="fr-FR"/>
        </w:rPr>
        <w:t>1%). La plupart des autres marchés émergents en Asie conn</w:t>
      </w:r>
      <w:r w:rsidRPr="00286B28">
        <w:rPr>
          <w:rStyle w:val="s14"/>
          <w:rFonts w:ascii="Georgia" w:hAnsi="Georgia"/>
          <w:lang w:val="fr-FR"/>
        </w:rPr>
        <w:t>aîtr</w:t>
      </w:r>
      <w:r>
        <w:rPr>
          <w:rStyle w:val="s14"/>
          <w:rFonts w:ascii="Georgia" w:hAnsi="Georgia"/>
          <w:lang w:val="fr-FR"/>
        </w:rPr>
        <w:t>ont une croissance explosive : la Malaisie (</w:t>
      </w:r>
      <w:r w:rsidR="00127FC8">
        <w:rPr>
          <w:rStyle w:val="s14"/>
          <w:rFonts w:ascii="Georgia" w:hAnsi="Georgia"/>
          <w:lang w:val="fr-FR"/>
        </w:rPr>
        <w:t>+</w:t>
      </w:r>
      <w:r>
        <w:rPr>
          <w:rStyle w:val="s14"/>
          <w:rFonts w:ascii="Georgia" w:hAnsi="Georgia"/>
          <w:lang w:val="fr-FR"/>
        </w:rPr>
        <w:t>9,7%) et le Vietnam (</w:t>
      </w:r>
      <w:r w:rsidR="00127FC8">
        <w:rPr>
          <w:rStyle w:val="s14"/>
          <w:rFonts w:ascii="Georgia" w:hAnsi="Georgia"/>
          <w:lang w:val="fr-FR"/>
        </w:rPr>
        <w:t>+</w:t>
      </w:r>
      <w:r>
        <w:rPr>
          <w:rStyle w:val="s14"/>
          <w:rFonts w:ascii="Georgia" w:hAnsi="Georgia"/>
          <w:lang w:val="fr-FR"/>
        </w:rPr>
        <w:t>1</w:t>
      </w:r>
      <w:r w:rsidR="00127FC8">
        <w:rPr>
          <w:rStyle w:val="s14"/>
          <w:rFonts w:ascii="Georgia" w:hAnsi="Georgia"/>
          <w:lang w:val="fr-FR"/>
        </w:rPr>
        <w:t>3</w:t>
      </w:r>
      <w:r>
        <w:rPr>
          <w:rStyle w:val="s14"/>
          <w:rFonts w:ascii="Georgia" w:hAnsi="Georgia"/>
          <w:lang w:val="fr-FR"/>
        </w:rPr>
        <w:t>,</w:t>
      </w:r>
      <w:r w:rsidR="00127FC8">
        <w:rPr>
          <w:rStyle w:val="s14"/>
          <w:rFonts w:ascii="Georgia" w:hAnsi="Georgia"/>
          <w:lang w:val="fr-FR"/>
        </w:rPr>
        <w:t>4</w:t>
      </w:r>
      <w:r>
        <w:rPr>
          <w:rStyle w:val="s14"/>
          <w:rFonts w:ascii="Georgia" w:hAnsi="Georgia"/>
          <w:lang w:val="fr-FR"/>
        </w:rPr>
        <w:t xml:space="preserve">%) </w:t>
      </w:r>
      <w:r w:rsidR="00127FC8">
        <w:rPr>
          <w:rStyle w:val="s14"/>
          <w:rFonts w:ascii="Georgia" w:hAnsi="Georgia"/>
          <w:lang w:val="fr-FR"/>
        </w:rPr>
        <w:t xml:space="preserve">par </w:t>
      </w:r>
      <w:r>
        <w:rPr>
          <w:rStyle w:val="s14"/>
          <w:rFonts w:ascii="Georgia" w:hAnsi="Georgia"/>
          <w:lang w:val="fr-FR"/>
        </w:rPr>
        <w:t>exemple.</w:t>
      </w:r>
    </w:p>
    <w:p w14:paraId="5417B818" w14:textId="77777777" w:rsidR="007C272D" w:rsidRDefault="007C272D" w:rsidP="008D473B">
      <w:pPr>
        <w:pStyle w:val="s15"/>
        <w:spacing w:before="0" w:beforeAutospacing="0" w:after="0" w:afterAutospacing="0"/>
        <w:jc w:val="both"/>
        <w:rPr>
          <w:rStyle w:val="s14"/>
          <w:rFonts w:ascii="Georgia" w:hAnsi="Georgia"/>
          <w:lang w:val="fr-FR"/>
        </w:rPr>
      </w:pPr>
    </w:p>
    <w:p w14:paraId="2CFE58F2" w14:textId="489C2BCB" w:rsidR="007C272D" w:rsidRDefault="007C272D"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En Amérique latine, les médias verront leur revenu publicitaire augmenter de </w:t>
      </w:r>
      <w:r w:rsidR="00127FC8">
        <w:rPr>
          <w:rStyle w:val="s14"/>
          <w:rFonts w:ascii="Georgia" w:hAnsi="Georgia"/>
          <w:lang w:val="fr-FR"/>
        </w:rPr>
        <w:t>+</w:t>
      </w:r>
      <w:r>
        <w:rPr>
          <w:rStyle w:val="s14"/>
          <w:rFonts w:ascii="Georgia" w:hAnsi="Georgia"/>
          <w:lang w:val="fr-FR"/>
        </w:rPr>
        <w:t xml:space="preserve">11,9% l’année prochaine (Mexique : </w:t>
      </w:r>
      <w:r w:rsidR="00127FC8">
        <w:rPr>
          <w:rStyle w:val="s14"/>
          <w:rFonts w:ascii="Georgia" w:hAnsi="Georgia"/>
          <w:lang w:val="fr-FR"/>
        </w:rPr>
        <w:t>+</w:t>
      </w:r>
      <w:r>
        <w:rPr>
          <w:rStyle w:val="s14"/>
          <w:rFonts w:ascii="Georgia" w:hAnsi="Georgia"/>
          <w:lang w:val="fr-FR"/>
        </w:rPr>
        <w:t xml:space="preserve">6,4%, Brésil : </w:t>
      </w:r>
      <w:r w:rsidR="00127FC8">
        <w:rPr>
          <w:rStyle w:val="s14"/>
          <w:rFonts w:ascii="Georgia" w:hAnsi="Georgia"/>
          <w:lang w:val="fr-FR"/>
        </w:rPr>
        <w:t>+</w:t>
      </w:r>
      <w:r>
        <w:rPr>
          <w:rStyle w:val="s14"/>
          <w:rFonts w:ascii="Georgia" w:hAnsi="Georgia"/>
          <w:lang w:val="fr-FR"/>
        </w:rPr>
        <w:t xml:space="preserve">10,7%, Argentine : </w:t>
      </w:r>
      <w:r w:rsidR="00127FC8">
        <w:rPr>
          <w:rStyle w:val="s14"/>
          <w:rFonts w:ascii="Georgia" w:hAnsi="Georgia"/>
          <w:lang w:val="fr-FR"/>
        </w:rPr>
        <w:t>+</w:t>
      </w:r>
      <w:r>
        <w:rPr>
          <w:rStyle w:val="s14"/>
          <w:rFonts w:ascii="Georgia" w:hAnsi="Georgia"/>
          <w:lang w:val="fr-FR"/>
        </w:rPr>
        <w:t xml:space="preserve">22,2%, Venezuela : </w:t>
      </w:r>
      <w:r w:rsidR="00127FC8">
        <w:rPr>
          <w:rStyle w:val="s14"/>
          <w:rFonts w:ascii="Georgia" w:hAnsi="Georgia"/>
          <w:lang w:val="fr-FR"/>
        </w:rPr>
        <w:t>+</w:t>
      </w:r>
      <w:r>
        <w:rPr>
          <w:rStyle w:val="s14"/>
          <w:rFonts w:ascii="Georgia" w:hAnsi="Georgia"/>
          <w:lang w:val="fr-FR"/>
        </w:rPr>
        <w:t xml:space="preserve">15,7%). Les dépenses publicitaires continuent d’être alimentées par une inflation galopante </w:t>
      </w:r>
      <w:r w:rsidR="00E16F0B">
        <w:rPr>
          <w:rStyle w:val="s14"/>
          <w:rFonts w:ascii="Georgia" w:hAnsi="Georgia"/>
          <w:lang w:val="fr-FR"/>
        </w:rPr>
        <w:t>dans</w:t>
      </w:r>
      <w:r>
        <w:rPr>
          <w:rStyle w:val="s14"/>
          <w:rFonts w:ascii="Georgia" w:hAnsi="Georgia"/>
          <w:lang w:val="fr-FR"/>
        </w:rPr>
        <w:t xml:space="preserve"> l’économie et d</w:t>
      </w:r>
      <w:r w:rsidR="00E16F0B">
        <w:rPr>
          <w:rStyle w:val="s14"/>
          <w:rFonts w:ascii="Georgia" w:hAnsi="Georgia"/>
          <w:lang w:val="fr-FR"/>
        </w:rPr>
        <w:t xml:space="preserve">ans le </w:t>
      </w:r>
      <w:r w:rsidR="00E51A37">
        <w:rPr>
          <w:rStyle w:val="s14"/>
          <w:rFonts w:ascii="Georgia" w:hAnsi="Georgia"/>
          <w:lang w:val="fr-FR"/>
        </w:rPr>
        <w:t>co</w:t>
      </w:r>
      <w:r w:rsidR="00E51A37" w:rsidRPr="007C272D">
        <w:rPr>
          <w:rStyle w:val="s14"/>
          <w:rFonts w:ascii="Georgia" w:hAnsi="Georgia"/>
          <w:lang w:val="fr-FR"/>
        </w:rPr>
        <w:t>û</w:t>
      </w:r>
      <w:r w:rsidR="00E51A37">
        <w:rPr>
          <w:rStyle w:val="s14"/>
          <w:rFonts w:ascii="Georgia" w:hAnsi="Georgia"/>
          <w:lang w:val="fr-FR"/>
        </w:rPr>
        <w:t xml:space="preserve">t </w:t>
      </w:r>
      <w:r w:rsidR="00E16F0B">
        <w:rPr>
          <w:rStyle w:val="s14"/>
          <w:rFonts w:ascii="Georgia" w:hAnsi="Georgia"/>
          <w:lang w:val="fr-FR"/>
        </w:rPr>
        <w:t>d</w:t>
      </w:r>
      <w:r>
        <w:rPr>
          <w:rStyle w:val="s14"/>
          <w:rFonts w:ascii="Georgia" w:hAnsi="Georgia"/>
          <w:lang w:val="fr-FR"/>
        </w:rPr>
        <w:t xml:space="preserve">es médias. Selon une étude </w:t>
      </w:r>
      <w:r w:rsidR="00E51A37">
        <w:rPr>
          <w:rStyle w:val="s14"/>
          <w:rFonts w:ascii="Georgia" w:hAnsi="Georgia"/>
          <w:lang w:val="fr-FR"/>
        </w:rPr>
        <w:t xml:space="preserve">mondiale </w:t>
      </w:r>
      <w:r>
        <w:rPr>
          <w:rStyle w:val="s14"/>
          <w:rFonts w:ascii="Georgia" w:hAnsi="Georgia"/>
          <w:lang w:val="fr-FR"/>
        </w:rPr>
        <w:t>de Magna Global sur les co</w:t>
      </w:r>
      <w:r w:rsidRPr="007C272D">
        <w:rPr>
          <w:rStyle w:val="s14"/>
          <w:rFonts w:ascii="Georgia" w:hAnsi="Georgia"/>
          <w:lang w:val="fr-FR"/>
        </w:rPr>
        <w:t>û</w:t>
      </w:r>
      <w:r w:rsidR="00E51A37">
        <w:rPr>
          <w:rStyle w:val="s14"/>
          <w:rFonts w:ascii="Georgia" w:hAnsi="Georgia"/>
          <w:lang w:val="fr-FR"/>
        </w:rPr>
        <w:t>ts des médias, le</w:t>
      </w:r>
      <w:r>
        <w:rPr>
          <w:rStyle w:val="s14"/>
          <w:rFonts w:ascii="Georgia" w:hAnsi="Georgia"/>
          <w:lang w:val="fr-FR"/>
        </w:rPr>
        <w:t xml:space="preserve"> co</w:t>
      </w:r>
      <w:r w:rsidRPr="007C272D">
        <w:rPr>
          <w:rStyle w:val="s14"/>
          <w:rFonts w:ascii="Georgia" w:hAnsi="Georgia"/>
          <w:lang w:val="fr-FR"/>
        </w:rPr>
        <w:t>û</w:t>
      </w:r>
      <w:r w:rsidR="00E51A37">
        <w:rPr>
          <w:rStyle w:val="s14"/>
          <w:rFonts w:ascii="Georgia" w:hAnsi="Georgia"/>
          <w:lang w:val="fr-FR"/>
        </w:rPr>
        <w:t>t</w:t>
      </w:r>
      <w:r>
        <w:rPr>
          <w:rStyle w:val="s14"/>
          <w:rFonts w:ascii="Georgia" w:hAnsi="Georgia"/>
          <w:lang w:val="fr-FR"/>
        </w:rPr>
        <w:t xml:space="preserve"> </w:t>
      </w:r>
      <w:r w:rsidR="00E51A37">
        <w:rPr>
          <w:rStyle w:val="s14"/>
          <w:rFonts w:ascii="Georgia" w:hAnsi="Georgia"/>
          <w:lang w:val="fr-FR"/>
        </w:rPr>
        <w:t>la télévision augmentera</w:t>
      </w:r>
      <w:r>
        <w:rPr>
          <w:rStyle w:val="s14"/>
          <w:rFonts w:ascii="Georgia" w:hAnsi="Georgia"/>
          <w:lang w:val="fr-FR"/>
        </w:rPr>
        <w:t xml:space="preserve"> d’en moyenne </w:t>
      </w:r>
      <w:r w:rsidR="00E51A37">
        <w:rPr>
          <w:rStyle w:val="s14"/>
          <w:rFonts w:ascii="Georgia" w:hAnsi="Georgia"/>
          <w:lang w:val="fr-FR"/>
        </w:rPr>
        <w:t>+</w:t>
      </w:r>
      <w:r>
        <w:rPr>
          <w:rStyle w:val="s14"/>
          <w:rFonts w:ascii="Georgia" w:hAnsi="Georgia"/>
          <w:lang w:val="fr-FR"/>
        </w:rPr>
        <w:t xml:space="preserve">13,1% en 2013 dans la région, et ceux de la presse d’en moyenne </w:t>
      </w:r>
      <w:r w:rsidR="00E51A37">
        <w:rPr>
          <w:rStyle w:val="s14"/>
          <w:rFonts w:ascii="Georgia" w:hAnsi="Georgia"/>
          <w:lang w:val="fr-FR"/>
        </w:rPr>
        <w:t>+</w:t>
      </w:r>
      <w:r>
        <w:rPr>
          <w:rStyle w:val="s14"/>
          <w:rFonts w:ascii="Georgia" w:hAnsi="Georgia"/>
          <w:lang w:val="fr-FR"/>
        </w:rPr>
        <w:t>20,5%. Certains pays tels que l’Argentine montrent des taux bien plus élevés.</w:t>
      </w:r>
      <w:r w:rsidR="0059162D">
        <w:rPr>
          <w:rStyle w:val="s14"/>
          <w:rFonts w:ascii="Georgia" w:hAnsi="Georgia"/>
          <w:lang w:val="fr-FR"/>
        </w:rPr>
        <w:t xml:space="preserve"> En dépit de dif</w:t>
      </w:r>
      <w:r w:rsidR="00E51A37">
        <w:rPr>
          <w:rStyle w:val="s14"/>
          <w:rFonts w:ascii="Georgia" w:hAnsi="Georgia"/>
          <w:lang w:val="fr-FR"/>
        </w:rPr>
        <w:t>ficultés économiques, le Brésil</w:t>
      </w:r>
      <w:r w:rsidR="0059162D">
        <w:rPr>
          <w:rStyle w:val="s14"/>
          <w:rFonts w:ascii="Georgia" w:hAnsi="Georgia"/>
          <w:lang w:val="fr-FR"/>
        </w:rPr>
        <w:t xml:space="preserve"> ressent déjà les effets positifs de la prochaine Coupe du Monde de Football 2014. La télévision, en particulier, est déjà en train de tirer parti de la demande croissante provenant des mar</w:t>
      </w:r>
      <w:r w:rsidR="00E51A37">
        <w:rPr>
          <w:rStyle w:val="s14"/>
          <w:rFonts w:ascii="Georgia" w:hAnsi="Georgia"/>
          <w:lang w:val="fr-FR"/>
        </w:rPr>
        <w:t>ques souhaitant être associées au</w:t>
      </w:r>
      <w:r w:rsidR="008D473B">
        <w:rPr>
          <w:rStyle w:val="s14"/>
          <w:rFonts w:ascii="Georgia" w:hAnsi="Georgia"/>
          <w:lang w:val="fr-FR"/>
        </w:rPr>
        <w:t xml:space="preserve"> « footbal</w:t>
      </w:r>
      <w:r w:rsidR="0059162D">
        <w:rPr>
          <w:rStyle w:val="s14"/>
          <w:rFonts w:ascii="Georgia" w:hAnsi="Georgia"/>
          <w:lang w:val="fr-FR"/>
        </w:rPr>
        <w:t>l » d</w:t>
      </w:r>
      <w:r w:rsidR="00E51A37">
        <w:rPr>
          <w:rStyle w:val="s14"/>
          <w:rFonts w:ascii="Georgia" w:hAnsi="Georgia"/>
          <w:lang w:val="fr-FR"/>
        </w:rPr>
        <w:t>è</w:t>
      </w:r>
      <w:r w:rsidR="0059162D">
        <w:rPr>
          <w:rStyle w:val="s14"/>
          <w:rFonts w:ascii="Georgia" w:hAnsi="Georgia"/>
          <w:lang w:val="fr-FR"/>
        </w:rPr>
        <w:t>s 2013.</w:t>
      </w:r>
    </w:p>
    <w:p w14:paraId="5F4D5369" w14:textId="77777777" w:rsidR="00553EC5" w:rsidRDefault="00553EC5" w:rsidP="008D473B">
      <w:pPr>
        <w:pStyle w:val="s15"/>
        <w:spacing w:before="0" w:beforeAutospacing="0" w:after="0" w:afterAutospacing="0"/>
        <w:jc w:val="both"/>
        <w:rPr>
          <w:rStyle w:val="s14"/>
          <w:rFonts w:ascii="Georgia" w:hAnsi="Georgia"/>
          <w:lang w:val="fr-FR"/>
        </w:rPr>
      </w:pPr>
    </w:p>
    <w:p w14:paraId="3485D0FE" w14:textId="5F1C74CB" w:rsidR="00553EC5" w:rsidRDefault="00553EC5"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Le marché américain va ralentir, comme c’est souvent le cas en période post-électorale. Nous nous attendons </w:t>
      </w:r>
      <w:r w:rsidR="0026654B">
        <w:rPr>
          <w:rStyle w:val="s14"/>
          <w:rFonts w:ascii="Georgia" w:hAnsi="Georgia"/>
          <w:lang w:val="fr-FR"/>
        </w:rPr>
        <w:t>à</w:t>
      </w:r>
      <w:r>
        <w:rPr>
          <w:rStyle w:val="s14"/>
          <w:rFonts w:ascii="Georgia" w:hAnsi="Georgia"/>
          <w:lang w:val="fr-FR"/>
        </w:rPr>
        <w:t xml:space="preserve"> ce que les recettes publicitaires totales</w:t>
      </w:r>
      <w:r w:rsidR="0026654B">
        <w:rPr>
          <w:rStyle w:val="s14"/>
          <w:rFonts w:ascii="Georgia" w:hAnsi="Georgia"/>
          <w:lang w:val="fr-FR"/>
        </w:rPr>
        <w:t xml:space="preserve"> augmentent de </w:t>
      </w:r>
      <w:r w:rsidR="00935B0B">
        <w:rPr>
          <w:rStyle w:val="s14"/>
          <w:rFonts w:ascii="Georgia" w:hAnsi="Georgia"/>
          <w:lang w:val="fr-FR"/>
        </w:rPr>
        <w:t>+</w:t>
      </w:r>
      <w:r w:rsidR="0026654B">
        <w:rPr>
          <w:rStyle w:val="s14"/>
          <w:rFonts w:ascii="Georgia" w:hAnsi="Georgia"/>
          <w:lang w:val="fr-FR"/>
        </w:rPr>
        <w:t xml:space="preserve">0,6% </w:t>
      </w:r>
      <w:r w:rsidR="00935B0B">
        <w:rPr>
          <w:rStyle w:val="s14"/>
          <w:rFonts w:ascii="Georgia" w:hAnsi="Georgia"/>
          <w:lang w:val="fr-FR"/>
        </w:rPr>
        <w:t>(</w:t>
      </w:r>
      <w:r w:rsidR="0026654B">
        <w:rPr>
          <w:rStyle w:val="s14"/>
          <w:rFonts w:ascii="Georgia" w:hAnsi="Georgia"/>
          <w:lang w:val="fr-FR"/>
        </w:rPr>
        <w:t xml:space="preserve">ou de 2,6% </w:t>
      </w:r>
      <w:r w:rsidR="00935B0B">
        <w:rPr>
          <w:rStyle w:val="s14"/>
          <w:rFonts w:ascii="Georgia" w:hAnsi="Georgia"/>
          <w:lang w:val="fr-FR"/>
        </w:rPr>
        <w:t>hors</w:t>
      </w:r>
      <w:r w:rsidR="0026654B">
        <w:rPr>
          <w:rStyle w:val="s14"/>
          <w:rFonts w:ascii="Georgia" w:hAnsi="Georgia"/>
          <w:lang w:val="fr-FR"/>
        </w:rPr>
        <w:t xml:space="preserve"> </w:t>
      </w:r>
      <w:r w:rsidR="00935B0B">
        <w:rPr>
          <w:rStyle w:val="s14"/>
          <w:rFonts w:ascii="Georgia" w:hAnsi="Georgia"/>
          <w:lang w:val="fr-FR"/>
        </w:rPr>
        <w:t xml:space="preserve">dépenses </w:t>
      </w:r>
      <w:r w:rsidR="0026654B">
        <w:rPr>
          <w:rStyle w:val="s14"/>
          <w:rFonts w:ascii="Georgia" w:hAnsi="Georgia"/>
          <w:lang w:val="fr-FR"/>
        </w:rPr>
        <w:t>E&amp;O</w:t>
      </w:r>
      <w:r w:rsidR="00935B0B">
        <w:rPr>
          <w:rStyle w:val="s14"/>
          <w:rFonts w:ascii="Georgia" w:hAnsi="Georgia"/>
          <w:lang w:val="fr-FR"/>
        </w:rPr>
        <w:t>)</w:t>
      </w:r>
      <w:r w:rsidR="0026654B">
        <w:rPr>
          <w:rStyle w:val="s14"/>
          <w:rFonts w:ascii="Georgia" w:hAnsi="Georgia"/>
          <w:lang w:val="fr-FR"/>
        </w:rPr>
        <w:t xml:space="preserve">. Ceci est </w:t>
      </w:r>
      <w:r w:rsidR="00935B0B">
        <w:rPr>
          <w:rStyle w:val="s14"/>
          <w:rFonts w:ascii="Georgia" w:hAnsi="Georgia"/>
          <w:lang w:val="fr-FR"/>
        </w:rPr>
        <w:t>sous réserve</w:t>
      </w:r>
      <w:r w:rsidR="0026654B">
        <w:rPr>
          <w:rStyle w:val="s14"/>
          <w:rFonts w:ascii="Georgia" w:hAnsi="Georgia"/>
          <w:lang w:val="fr-FR"/>
        </w:rPr>
        <w:t xml:space="preserve"> que le gouvernement parvienne à trouver un accord </w:t>
      </w:r>
      <w:r w:rsidR="00916A85">
        <w:rPr>
          <w:rStyle w:val="s14"/>
          <w:rFonts w:ascii="Georgia" w:hAnsi="Georgia"/>
          <w:lang w:val="fr-FR"/>
        </w:rPr>
        <w:t xml:space="preserve">politique </w:t>
      </w:r>
      <w:r w:rsidR="0026654B">
        <w:rPr>
          <w:rStyle w:val="s14"/>
          <w:rFonts w:ascii="Georgia" w:hAnsi="Georgia"/>
          <w:lang w:val="fr-FR"/>
        </w:rPr>
        <w:t xml:space="preserve">avant fin décembre pour </w:t>
      </w:r>
      <w:r w:rsidR="00935B0B">
        <w:rPr>
          <w:rStyle w:val="s14"/>
          <w:rFonts w:ascii="Georgia" w:hAnsi="Georgia"/>
          <w:lang w:val="fr-FR"/>
        </w:rPr>
        <w:t xml:space="preserve">éviter de </w:t>
      </w:r>
      <w:r w:rsidR="00FF0FC1">
        <w:rPr>
          <w:rStyle w:val="s14"/>
          <w:rFonts w:ascii="Georgia" w:hAnsi="Georgia"/>
          <w:lang w:val="fr-FR"/>
        </w:rPr>
        <w:t>heurter le</w:t>
      </w:r>
      <w:r w:rsidR="0026654B">
        <w:rPr>
          <w:rStyle w:val="s14"/>
          <w:rFonts w:ascii="Georgia" w:hAnsi="Georgia"/>
          <w:lang w:val="fr-FR"/>
        </w:rPr>
        <w:t xml:space="preserve"> « </w:t>
      </w:r>
      <w:r w:rsidR="00FF0FC1">
        <w:rPr>
          <w:rStyle w:val="s14"/>
          <w:rFonts w:ascii="Georgia" w:hAnsi="Georgia"/>
          <w:lang w:val="fr-FR"/>
        </w:rPr>
        <w:t>mur budgétaire</w:t>
      </w:r>
      <w:r w:rsidR="0026654B">
        <w:rPr>
          <w:rStyle w:val="s14"/>
          <w:rFonts w:ascii="Georgia" w:hAnsi="Georgia"/>
          <w:lang w:val="fr-FR"/>
        </w:rPr>
        <w:t xml:space="preserve"> » </w:t>
      </w:r>
      <w:r w:rsidR="00916A85">
        <w:rPr>
          <w:rStyle w:val="s14"/>
          <w:rFonts w:ascii="Georgia" w:hAnsi="Georgia"/>
          <w:lang w:val="fr-FR"/>
        </w:rPr>
        <w:t xml:space="preserve">(augmentation des </w:t>
      </w:r>
      <w:r w:rsidR="008D473B">
        <w:rPr>
          <w:rStyle w:val="s14"/>
          <w:rFonts w:ascii="Georgia" w:hAnsi="Georgia"/>
          <w:lang w:val="fr-FR"/>
        </w:rPr>
        <w:t>impôts</w:t>
      </w:r>
      <w:r w:rsidR="00916A85">
        <w:rPr>
          <w:rStyle w:val="s14"/>
          <w:rFonts w:ascii="Georgia" w:hAnsi="Georgia"/>
          <w:lang w:val="fr-FR"/>
        </w:rPr>
        <w:t xml:space="preserve">, baisse automatique des dépenses) </w:t>
      </w:r>
      <w:r w:rsidR="0026654B">
        <w:rPr>
          <w:rStyle w:val="s14"/>
          <w:rFonts w:ascii="Georgia" w:hAnsi="Georgia"/>
          <w:lang w:val="fr-FR"/>
        </w:rPr>
        <w:t xml:space="preserve">qui risquerait de réduire </w:t>
      </w:r>
      <w:r w:rsidR="00916A85">
        <w:rPr>
          <w:rStyle w:val="s14"/>
          <w:rFonts w:ascii="Georgia" w:hAnsi="Georgia"/>
          <w:lang w:val="fr-FR"/>
        </w:rPr>
        <w:t xml:space="preserve">brutalement </w:t>
      </w:r>
      <w:r w:rsidR="0026654B">
        <w:rPr>
          <w:rStyle w:val="s14"/>
          <w:rFonts w:ascii="Georgia" w:hAnsi="Georgia"/>
          <w:lang w:val="fr-FR"/>
        </w:rPr>
        <w:t xml:space="preserve">la croissance économique et plonger le pays dans la récession. Les recettes de la télévision diminueront de </w:t>
      </w:r>
      <w:r w:rsidR="00C71557">
        <w:rPr>
          <w:rStyle w:val="s14"/>
          <w:rFonts w:ascii="Georgia" w:hAnsi="Georgia"/>
          <w:lang w:val="fr-FR"/>
        </w:rPr>
        <w:t>-</w:t>
      </w:r>
      <w:r w:rsidR="0026654B">
        <w:rPr>
          <w:rStyle w:val="s14"/>
          <w:rFonts w:ascii="Georgia" w:hAnsi="Georgia"/>
          <w:lang w:val="fr-FR"/>
        </w:rPr>
        <w:t>1,9% en raison d’une demande plus faible et de l’effet pendulaire classique en années post-électorales. Sans les dépenses Olympiques et avec l’</w:t>
      </w:r>
      <w:r w:rsidR="00C71557">
        <w:rPr>
          <w:rStyle w:val="s14"/>
          <w:rFonts w:ascii="Georgia" w:hAnsi="Georgia"/>
          <w:lang w:val="fr-FR"/>
        </w:rPr>
        <w:t>érosion</w:t>
      </w:r>
      <w:r w:rsidR="0026654B">
        <w:rPr>
          <w:rStyle w:val="s14"/>
          <w:rFonts w:ascii="Georgia" w:hAnsi="Georgia"/>
          <w:lang w:val="fr-FR"/>
        </w:rPr>
        <w:t xml:space="preserve"> </w:t>
      </w:r>
      <w:r w:rsidR="00C71557">
        <w:rPr>
          <w:rStyle w:val="s14"/>
          <w:rFonts w:ascii="Georgia" w:hAnsi="Georgia"/>
          <w:lang w:val="fr-FR"/>
        </w:rPr>
        <w:t xml:space="preserve">graduelle </w:t>
      </w:r>
      <w:r w:rsidR="0026654B">
        <w:rPr>
          <w:rStyle w:val="s14"/>
          <w:rFonts w:ascii="Georgia" w:hAnsi="Georgia"/>
          <w:lang w:val="fr-FR"/>
        </w:rPr>
        <w:t>de l’audience</w:t>
      </w:r>
      <w:r w:rsidR="00C71557">
        <w:rPr>
          <w:rStyle w:val="s14"/>
          <w:rFonts w:ascii="Georgia" w:hAnsi="Georgia"/>
          <w:lang w:val="fr-FR"/>
        </w:rPr>
        <w:t xml:space="preserve">, les réseaux nationaux </w:t>
      </w:r>
      <w:r w:rsidR="00C71557">
        <w:rPr>
          <w:rStyle w:val="s14"/>
          <w:rFonts w:ascii="Georgia" w:hAnsi="Georgia"/>
          <w:lang w:val="fr-FR"/>
        </w:rPr>
        <w:lastRenderedPageBreak/>
        <w:t xml:space="preserve">anglophones chuteront de -3,6%. Sans dépenses politiques, les revenus de la télévision locale diminueront de -9,0%. Les recettes publicitaires numériques augmenteront de </w:t>
      </w:r>
      <w:r w:rsidR="00916A85">
        <w:rPr>
          <w:rStyle w:val="s14"/>
          <w:rFonts w:ascii="Georgia" w:hAnsi="Georgia"/>
          <w:lang w:val="fr-FR"/>
        </w:rPr>
        <w:t>+</w:t>
      </w:r>
      <w:r w:rsidR="00C71557">
        <w:rPr>
          <w:rStyle w:val="s14"/>
          <w:rFonts w:ascii="Georgia" w:hAnsi="Georgia"/>
          <w:lang w:val="fr-FR"/>
        </w:rPr>
        <w:t xml:space="preserve">11,6%, celles de la presse quotidienne diminueront de -6,7% et celles des magazines s’effondreront de -7,8%. Les recettes de la radio devraient rester </w:t>
      </w:r>
      <w:r w:rsidR="00916A85">
        <w:rPr>
          <w:rStyle w:val="s14"/>
          <w:rFonts w:ascii="Georgia" w:hAnsi="Georgia"/>
          <w:lang w:val="fr-FR"/>
        </w:rPr>
        <w:t>stables</w:t>
      </w:r>
      <w:r w:rsidR="00C71557">
        <w:rPr>
          <w:rStyle w:val="s14"/>
          <w:rFonts w:ascii="Georgia" w:hAnsi="Georgia"/>
          <w:lang w:val="fr-FR"/>
        </w:rPr>
        <w:t xml:space="preserve"> alors que celles de l’affichage et du cinéma grimperont (</w:t>
      </w:r>
      <w:r w:rsidR="00916A85">
        <w:rPr>
          <w:rStyle w:val="s14"/>
          <w:rFonts w:ascii="Georgia" w:hAnsi="Georgia"/>
          <w:lang w:val="fr-FR"/>
        </w:rPr>
        <w:t>+</w:t>
      </w:r>
      <w:r w:rsidR="00C71557">
        <w:rPr>
          <w:rStyle w:val="s14"/>
          <w:rFonts w:ascii="Georgia" w:hAnsi="Georgia"/>
          <w:lang w:val="fr-FR"/>
        </w:rPr>
        <w:t>4,4%).</w:t>
      </w:r>
    </w:p>
    <w:p w14:paraId="5DCAC027" w14:textId="77777777" w:rsidR="0037465B" w:rsidRDefault="0037465B" w:rsidP="008D473B">
      <w:pPr>
        <w:pStyle w:val="s15"/>
        <w:spacing w:before="0" w:beforeAutospacing="0" w:after="0" w:afterAutospacing="0"/>
        <w:jc w:val="both"/>
        <w:rPr>
          <w:rStyle w:val="s14"/>
          <w:rFonts w:ascii="Georgia" w:hAnsi="Georgia"/>
          <w:lang w:val="fr-FR"/>
        </w:rPr>
      </w:pPr>
    </w:p>
    <w:p w14:paraId="463A820B" w14:textId="715F7B1E" w:rsidR="0037465B" w:rsidRDefault="0037465B"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A l’échelle mondiale, 2013 sera la </w:t>
      </w:r>
      <w:r w:rsidR="003D35D9">
        <w:rPr>
          <w:rStyle w:val="s14"/>
          <w:rFonts w:ascii="Georgia" w:hAnsi="Georgia"/>
          <w:lang w:val="fr-FR"/>
        </w:rPr>
        <w:t>septième</w:t>
      </w:r>
      <w:r>
        <w:rPr>
          <w:rStyle w:val="s14"/>
          <w:rFonts w:ascii="Georgia" w:hAnsi="Georgia"/>
          <w:lang w:val="fr-FR"/>
        </w:rPr>
        <w:t xml:space="preserve"> </w:t>
      </w:r>
      <w:r w:rsidR="003D35D9">
        <w:rPr>
          <w:rStyle w:val="s14"/>
          <w:rFonts w:ascii="Georgia" w:hAnsi="Georgia"/>
          <w:lang w:val="fr-FR"/>
        </w:rPr>
        <w:t>année consécutive de chute dans les revenus de la</w:t>
      </w:r>
      <w:r>
        <w:rPr>
          <w:rStyle w:val="s14"/>
          <w:rFonts w:ascii="Georgia" w:hAnsi="Georgia"/>
          <w:lang w:val="fr-FR"/>
        </w:rPr>
        <w:t xml:space="preserve"> press</w:t>
      </w:r>
      <w:r w:rsidR="003D35D9">
        <w:rPr>
          <w:rStyle w:val="s14"/>
          <w:rFonts w:ascii="Georgia" w:hAnsi="Georgia"/>
          <w:lang w:val="fr-FR"/>
        </w:rPr>
        <w:t>e</w:t>
      </w:r>
      <w:r>
        <w:rPr>
          <w:rStyle w:val="s14"/>
          <w:rFonts w:ascii="Georgia" w:hAnsi="Georgia"/>
          <w:lang w:val="fr-FR"/>
        </w:rPr>
        <w:t xml:space="preserve"> quotidienne</w:t>
      </w:r>
      <w:r w:rsidR="003D35D9">
        <w:rPr>
          <w:rStyle w:val="s14"/>
          <w:rFonts w:ascii="Georgia" w:hAnsi="Georgia"/>
          <w:lang w:val="fr-FR"/>
        </w:rPr>
        <w:t xml:space="preserve"> (-3,4%), </w:t>
      </w:r>
      <w:r w:rsidR="00916A85">
        <w:rPr>
          <w:rStyle w:val="s14"/>
          <w:rFonts w:ascii="Georgia" w:hAnsi="Georgia"/>
          <w:lang w:val="fr-FR"/>
        </w:rPr>
        <w:t>car</w:t>
      </w:r>
      <w:r w:rsidR="003D35D9">
        <w:rPr>
          <w:rStyle w:val="s14"/>
          <w:rFonts w:ascii="Georgia" w:hAnsi="Georgia"/>
          <w:lang w:val="fr-FR"/>
        </w:rPr>
        <w:t xml:space="preserve"> de moins en moins de marchés émergents enregistrent </w:t>
      </w:r>
      <w:r w:rsidR="00916A85">
        <w:rPr>
          <w:rStyle w:val="s14"/>
          <w:rFonts w:ascii="Georgia" w:hAnsi="Georgia"/>
          <w:lang w:val="fr-FR"/>
        </w:rPr>
        <w:t>assez</w:t>
      </w:r>
      <w:r w:rsidR="003D35D9">
        <w:rPr>
          <w:rStyle w:val="s14"/>
          <w:rFonts w:ascii="Georgia" w:hAnsi="Georgia"/>
          <w:lang w:val="fr-FR"/>
        </w:rPr>
        <w:t xml:space="preserve"> de croissance pour compenser </w:t>
      </w:r>
      <w:r w:rsidR="00916A85">
        <w:rPr>
          <w:rStyle w:val="s14"/>
          <w:rFonts w:ascii="Georgia" w:hAnsi="Georgia"/>
          <w:lang w:val="fr-FR"/>
        </w:rPr>
        <w:t>les pertes</w:t>
      </w:r>
      <w:r w:rsidR="003D35D9">
        <w:rPr>
          <w:rStyle w:val="s14"/>
          <w:rFonts w:ascii="Georgia" w:hAnsi="Georgia"/>
          <w:lang w:val="fr-FR"/>
        </w:rPr>
        <w:t xml:space="preserve"> observé</w:t>
      </w:r>
      <w:r w:rsidR="00916A85">
        <w:rPr>
          <w:rStyle w:val="s14"/>
          <w:rFonts w:ascii="Georgia" w:hAnsi="Georgia"/>
          <w:lang w:val="fr-FR"/>
        </w:rPr>
        <w:t>es</w:t>
      </w:r>
      <w:r w:rsidR="003D35D9">
        <w:rPr>
          <w:rStyle w:val="s14"/>
          <w:rFonts w:ascii="Georgia" w:hAnsi="Georgia"/>
          <w:lang w:val="fr-FR"/>
        </w:rPr>
        <w:t xml:space="preserve"> dans les marchés développés. </w:t>
      </w:r>
      <w:r w:rsidR="00112A1F">
        <w:rPr>
          <w:rStyle w:val="s14"/>
          <w:rFonts w:ascii="Georgia" w:hAnsi="Georgia"/>
          <w:lang w:val="fr-FR"/>
        </w:rPr>
        <w:t xml:space="preserve">Les </w:t>
      </w:r>
      <w:r w:rsidR="00916A85">
        <w:rPr>
          <w:rStyle w:val="s14"/>
          <w:rFonts w:ascii="Georgia" w:hAnsi="Georgia"/>
          <w:lang w:val="fr-FR"/>
        </w:rPr>
        <w:t xml:space="preserve">recettes des </w:t>
      </w:r>
      <w:r w:rsidR="00112A1F">
        <w:rPr>
          <w:rStyle w:val="s14"/>
          <w:rFonts w:ascii="Georgia" w:hAnsi="Georgia"/>
          <w:lang w:val="fr-FR"/>
        </w:rPr>
        <w:t xml:space="preserve">magazines diminueront de -4,3%, en raison </w:t>
      </w:r>
      <w:r w:rsidR="00916A85">
        <w:rPr>
          <w:rStyle w:val="s14"/>
          <w:rFonts w:ascii="Georgia" w:hAnsi="Georgia"/>
          <w:lang w:val="fr-FR"/>
        </w:rPr>
        <w:t>de la concurrence</w:t>
      </w:r>
      <w:r w:rsidR="00112A1F">
        <w:rPr>
          <w:rStyle w:val="s14"/>
          <w:rFonts w:ascii="Georgia" w:hAnsi="Georgia"/>
          <w:lang w:val="fr-FR"/>
        </w:rPr>
        <w:t xml:space="preserve"> </w:t>
      </w:r>
      <w:r w:rsidR="00916A85">
        <w:rPr>
          <w:rStyle w:val="s14"/>
          <w:rFonts w:ascii="Georgia" w:hAnsi="Georgia"/>
          <w:lang w:val="fr-FR"/>
        </w:rPr>
        <w:t>de</w:t>
      </w:r>
      <w:r w:rsidR="00112A1F">
        <w:rPr>
          <w:rStyle w:val="s14"/>
          <w:rFonts w:ascii="Georgia" w:hAnsi="Georgia"/>
          <w:lang w:val="fr-FR"/>
        </w:rPr>
        <w:t xml:space="preserve"> la télévision et des médias numériques. La croissance publicitaire de la télévision va redescendre à 2,3%, du principalement au marché américain (la télévision américaine représente un tiers de la télévision mondiale à elle seule : 62 milliards de dollars</w:t>
      </w:r>
      <w:r w:rsidR="00DC1EC6">
        <w:rPr>
          <w:rStyle w:val="s14"/>
          <w:rFonts w:ascii="Georgia" w:hAnsi="Georgia"/>
          <w:lang w:val="fr-FR"/>
        </w:rPr>
        <w:t xml:space="preserve"> sur 202 milliards au niveau mondial). Les ventes publicitaires de l’affichage (y compris le cinéma) augmenteront de </w:t>
      </w:r>
      <w:r w:rsidR="00916A85">
        <w:rPr>
          <w:rStyle w:val="s14"/>
          <w:rFonts w:ascii="Georgia" w:hAnsi="Georgia"/>
          <w:lang w:val="fr-FR"/>
        </w:rPr>
        <w:t>+</w:t>
      </w:r>
      <w:r w:rsidR="00DC1EC6">
        <w:rPr>
          <w:rStyle w:val="s14"/>
          <w:rFonts w:ascii="Georgia" w:hAnsi="Georgia"/>
          <w:lang w:val="fr-FR"/>
        </w:rPr>
        <w:t>3,4%. La radio</w:t>
      </w:r>
      <w:r w:rsidR="001B213D">
        <w:rPr>
          <w:rStyle w:val="s14"/>
          <w:rFonts w:ascii="Georgia" w:hAnsi="Georgia"/>
          <w:lang w:val="fr-FR"/>
        </w:rPr>
        <w:t xml:space="preserve"> augmentera d’en moyenne </w:t>
      </w:r>
      <w:r w:rsidR="00916A85">
        <w:rPr>
          <w:rStyle w:val="s14"/>
          <w:rFonts w:ascii="Georgia" w:hAnsi="Georgia"/>
          <w:lang w:val="fr-FR"/>
        </w:rPr>
        <w:t>+</w:t>
      </w:r>
      <w:r w:rsidR="001B213D">
        <w:rPr>
          <w:rStyle w:val="s14"/>
          <w:rFonts w:ascii="Georgia" w:hAnsi="Georgia"/>
          <w:lang w:val="fr-FR"/>
        </w:rPr>
        <w:t>1,5%. Parce qu’elle est en moyenne cinq fois moins chère que la TV nationale et huit fois moins chère que la presse, la radio est en demande et devrait être en mesure d’augmenter ses tarifs d’ici 2013.</w:t>
      </w:r>
    </w:p>
    <w:p w14:paraId="4E936279" w14:textId="77777777" w:rsidR="00C16E18" w:rsidRDefault="00C16E18" w:rsidP="00D641AD">
      <w:pPr>
        <w:pStyle w:val="s15"/>
        <w:spacing w:before="0" w:beforeAutospacing="0" w:after="0" w:afterAutospacing="0"/>
        <w:rPr>
          <w:rStyle w:val="s14"/>
          <w:rFonts w:ascii="Georgia" w:hAnsi="Georgia"/>
          <w:lang w:val="fr-FR"/>
        </w:rPr>
      </w:pPr>
    </w:p>
    <w:p w14:paraId="07359F17" w14:textId="77F0F219" w:rsidR="00C16E18" w:rsidRDefault="00C16E18" w:rsidP="008D473B">
      <w:pPr>
        <w:pStyle w:val="s15"/>
        <w:spacing w:before="0" w:beforeAutospacing="0" w:after="0" w:afterAutospacing="0"/>
        <w:jc w:val="both"/>
        <w:rPr>
          <w:rStyle w:val="s14"/>
          <w:rFonts w:ascii="Georgia" w:hAnsi="Georgia"/>
          <w:lang w:val="fr-FR"/>
        </w:rPr>
      </w:pPr>
      <w:r>
        <w:rPr>
          <w:rStyle w:val="s14"/>
          <w:rFonts w:ascii="Georgia" w:hAnsi="Georgia"/>
          <w:lang w:val="fr-FR"/>
        </w:rPr>
        <w:t xml:space="preserve">Les recettes des médias numériques vont croitre de </w:t>
      </w:r>
      <w:r w:rsidR="00916A85">
        <w:rPr>
          <w:rStyle w:val="s14"/>
          <w:rFonts w:ascii="Georgia" w:hAnsi="Georgia"/>
          <w:lang w:val="fr-FR"/>
        </w:rPr>
        <w:t>+</w:t>
      </w:r>
      <w:r>
        <w:rPr>
          <w:rStyle w:val="s14"/>
          <w:rFonts w:ascii="Georgia" w:hAnsi="Georgia"/>
          <w:lang w:val="fr-FR"/>
        </w:rPr>
        <w:t>13,5% ; les formats display classiques (bannières, sponsoring) ont à peine augm</w:t>
      </w:r>
      <w:r w:rsidR="004A4F51">
        <w:rPr>
          <w:rStyle w:val="s14"/>
          <w:rFonts w:ascii="Georgia" w:hAnsi="Georgia"/>
          <w:lang w:val="fr-FR"/>
        </w:rPr>
        <w:t>enté (</w:t>
      </w:r>
      <w:r w:rsidR="00916A85">
        <w:rPr>
          <w:rStyle w:val="s14"/>
          <w:rFonts w:ascii="Georgia" w:hAnsi="Georgia"/>
          <w:lang w:val="fr-FR"/>
        </w:rPr>
        <w:t>+</w:t>
      </w:r>
      <w:r w:rsidR="004A4F51">
        <w:rPr>
          <w:rStyle w:val="s14"/>
          <w:rFonts w:ascii="Georgia" w:hAnsi="Georgia"/>
          <w:lang w:val="fr-FR"/>
        </w:rPr>
        <w:t>6%) alors que les investissements sont davantage dirigés</w:t>
      </w:r>
      <w:r>
        <w:rPr>
          <w:rStyle w:val="s14"/>
          <w:rFonts w:ascii="Georgia" w:hAnsi="Georgia"/>
          <w:lang w:val="fr-FR"/>
        </w:rPr>
        <w:t xml:space="preserve"> vers les vidéos en ligne et les formats mobiles.</w:t>
      </w:r>
    </w:p>
    <w:p w14:paraId="0EDD8E83" w14:textId="77777777" w:rsidR="004A4F51" w:rsidRDefault="004A4F51" w:rsidP="00D641AD">
      <w:pPr>
        <w:pStyle w:val="s15"/>
        <w:spacing w:before="0" w:beforeAutospacing="0" w:after="0" w:afterAutospacing="0"/>
        <w:rPr>
          <w:rStyle w:val="s14"/>
          <w:rFonts w:ascii="Georgia" w:hAnsi="Georgia"/>
          <w:lang w:val="fr-FR"/>
        </w:rPr>
      </w:pPr>
    </w:p>
    <w:p w14:paraId="2D5125F2" w14:textId="77777777" w:rsidR="008D473B" w:rsidRDefault="008D473B" w:rsidP="008D473B">
      <w:pPr>
        <w:pStyle w:val="s15"/>
        <w:spacing w:before="0" w:beforeAutospacing="0" w:after="0" w:afterAutospacing="0"/>
        <w:jc w:val="both"/>
        <w:rPr>
          <w:rStyle w:val="s14"/>
          <w:rFonts w:ascii="Georgia" w:hAnsi="Georgia"/>
          <w:b/>
          <w:lang w:val="fr-FR"/>
        </w:rPr>
      </w:pPr>
    </w:p>
    <w:p w14:paraId="1D298384" w14:textId="77777777" w:rsidR="008D473B" w:rsidRDefault="008D473B" w:rsidP="008D473B">
      <w:pPr>
        <w:pStyle w:val="s15"/>
        <w:spacing w:before="0" w:beforeAutospacing="0" w:after="0" w:afterAutospacing="0"/>
        <w:jc w:val="both"/>
        <w:rPr>
          <w:rStyle w:val="s14"/>
          <w:rFonts w:ascii="Georgia" w:hAnsi="Georgia"/>
          <w:b/>
          <w:lang w:val="fr-FR"/>
        </w:rPr>
      </w:pPr>
    </w:p>
    <w:p w14:paraId="5CA7272F" w14:textId="77777777" w:rsidR="008D473B" w:rsidRDefault="008D473B" w:rsidP="008D473B">
      <w:pPr>
        <w:pStyle w:val="s15"/>
        <w:spacing w:before="0" w:beforeAutospacing="0" w:after="0" w:afterAutospacing="0"/>
        <w:jc w:val="both"/>
        <w:rPr>
          <w:rStyle w:val="s14"/>
          <w:rFonts w:ascii="Georgia" w:hAnsi="Georgia"/>
          <w:b/>
          <w:lang w:val="fr-FR"/>
        </w:rPr>
      </w:pPr>
    </w:p>
    <w:p w14:paraId="139713D0" w14:textId="77777777" w:rsidR="008D473B" w:rsidRDefault="008D473B" w:rsidP="008D473B">
      <w:pPr>
        <w:pStyle w:val="s15"/>
        <w:spacing w:before="0" w:beforeAutospacing="0" w:after="0" w:afterAutospacing="0"/>
        <w:jc w:val="both"/>
        <w:rPr>
          <w:rStyle w:val="s14"/>
          <w:rFonts w:ascii="Georgia" w:hAnsi="Georgia"/>
          <w:b/>
          <w:lang w:val="fr-FR"/>
        </w:rPr>
      </w:pPr>
    </w:p>
    <w:p w14:paraId="25DFCEF5" w14:textId="77777777" w:rsidR="008D473B" w:rsidRDefault="008D473B" w:rsidP="008D473B">
      <w:pPr>
        <w:pStyle w:val="s15"/>
        <w:spacing w:before="0" w:beforeAutospacing="0" w:after="0" w:afterAutospacing="0"/>
        <w:jc w:val="both"/>
        <w:rPr>
          <w:rStyle w:val="s14"/>
          <w:rFonts w:ascii="Georgia" w:hAnsi="Georgia"/>
          <w:b/>
          <w:lang w:val="fr-FR"/>
        </w:rPr>
      </w:pPr>
    </w:p>
    <w:p w14:paraId="16134FEB" w14:textId="77777777" w:rsidR="008D473B" w:rsidRDefault="008D473B" w:rsidP="008D473B">
      <w:pPr>
        <w:pStyle w:val="s15"/>
        <w:spacing w:before="0" w:beforeAutospacing="0" w:after="0" w:afterAutospacing="0"/>
        <w:jc w:val="both"/>
        <w:rPr>
          <w:rStyle w:val="s14"/>
          <w:rFonts w:ascii="Georgia" w:hAnsi="Georgia"/>
          <w:b/>
          <w:lang w:val="fr-FR"/>
        </w:rPr>
      </w:pPr>
    </w:p>
    <w:p w14:paraId="7DEDA5B6" w14:textId="77777777" w:rsidR="008D473B" w:rsidRDefault="008D473B" w:rsidP="008D473B">
      <w:pPr>
        <w:pStyle w:val="s15"/>
        <w:spacing w:before="0" w:beforeAutospacing="0" w:after="0" w:afterAutospacing="0"/>
        <w:jc w:val="both"/>
        <w:rPr>
          <w:rStyle w:val="s14"/>
          <w:rFonts w:ascii="Georgia" w:hAnsi="Georgia"/>
          <w:b/>
          <w:lang w:val="fr-FR"/>
        </w:rPr>
      </w:pPr>
    </w:p>
    <w:p w14:paraId="20FB31ED" w14:textId="77777777" w:rsidR="008D473B" w:rsidRDefault="008D473B" w:rsidP="008D473B">
      <w:pPr>
        <w:pStyle w:val="s15"/>
        <w:spacing w:before="0" w:beforeAutospacing="0" w:after="0" w:afterAutospacing="0"/>
        <w:jc w:val="both"/>
        <w:rPr>
          <w:rStyle w:val="s14"/>
          <w:rFonts w:ascii="Georgia" w:hAnsi="Georgia"/>
          <w:b/>
          <w:lang w:val="fr-FR"/>
        </w:rPr>
      </w:pPr>
    </w:p>
    <w:p w14:paraId="64B0FF98" w14:textId="2FD8C412" w:rsidR="004A4F51" w:rsidRDefault="004A4F51" w:rsidP="008D473B">
      <w:pPr>
        <w:pStyle w:val="s15"/>
        <w:spacing w:before="0" w:beforeAutospacing="0" w:after="0" w:afterAutospacing="0"/>
        <w:jc w:val="both"/>
        <w:rPr>
          <w:rStyle w:val="s14"/>
          <w:rFonts w:ascii="Georgia" w:hAnsi="Georgia"/>
          <w:i/>
          <w:lang w:val="fr-FR"/>
        </w:rPr>
      </w:pPr>
      <w:r w:rsidRPr="00916A85">
        <w:rPr>
          <w:rStyle w:val="s14"/>
          <w:rFonts w:ascii="Georgia" w:hAnsi="Georgia"/>
          <w:b/>
          <w:lang w:val="fr-FR"/>
        </w:rPr>
        <w:t xml:space="preserve">Vincent </w:t>
      </w:r>
      <w:proofErr w:type="spellStart"/>
      <w:r w:rsidRPr="00916A85">
        <w:rPr>
          <w:rStyle w:val="s14"/>
          <w:rFonts w:ascii="Georgia" w:hAnsi="Georgia"/>
          <w:b/>
          <w:lang w:val="fr-FR"/>
        </w:rPr>
        <w:t>L</w:t>
      </w:r>
      <w:r w:rsidR="00916A85">
        <w:rPr>
          <w:rStyle w:val="s14"/>
          <w:rFonts w:ascii="Georgia" w:hAnsi="Georgia"/>
          <w:b/>
          <w:lang w:val="fr-FR"/>
        </w:rPr>
        <w:t>é</w:t>
      </w:r>
      <w:r w:rsidR="00363DF7" w:rsidRPr="00916A85">
        <w:rPr>
          <w:rStyle w:val="s14"/>
          <w:rFonts w:ascii="Georgia" w:hAnsi="Georgia"/>
          <w:b/>
          <w:lang w:val="fr-FR"/>
        </w:rPr>
        <w:t>tang</w:t>
      </w:r>
      <w:proofErr w:type="spellEnd"/>
      <w:r w:rsidR="00363DF7">
        <w:rPr>
          <w:rStyle w:val="s14"/>
          <w:rFonts w:ascii="Georgia" w:hAnsi="Georgia"/>
          <w:lang w:val="fr-FR"/>
        </w:rPr>
        <w:t>, Directeur de</w:t>
      </w:r>
      <w:r w:rsidR="00916A85">
        <w:rPr>
          <w:rStyle w:val="s14"/>
          <w:rFonts w:ascii="Georgia" w:hAnsi="Georgia"/>
          <w:lang w:val="fr-FR"/>
        </w:rPr>
        <w:t xml:space="preserve"> la Prévision, </w:t>
      </w:r>
      <w:r>
        <w:rPr>
          <w:rStyle w:val="s14"/>
          <w:rFonts w:ascii="Georgia" w:hAnsi="Georgia"/>
          <w:lang w:val="fr-FR"/>
        </w:rPr>
        <w:t xml:space="preserve">et auteur de ce rapport, a déclaré: </w:t>
      </w:r>
      <w:r w:rsidRPr="002328CD">
        <w:rPr>
          <w:rStyle w:val="s14"/>
          <w:rFonts w:ascii="Georgia" w:hAnsi="Georgia"/>
          <w:i/>
          <w:lang w:val="fr-FR"/>
        </w:rPr>
        <w:t xml:space="preserve">« les </w:t>
      </w:r>
      <w:proofErr w:type="gramStart"/>
      <w:r w:rsidRPr="002328CD">
        <w:rPr>
          <w:rStyle w:val="s14"/>
          <w:rFonts w:ascii="Georgia" w:hAnsi="Georgia"/>
          <w:i/>
          <w:lang w:val="fr-FR"/>
        </w:rPr>
        <w:t>tablettes</w:t>
      </w:r>
      <w:proofErr w:type="gramEnd"/>
      <w:r w:rsidRPr="002328CD">
        <w:rPr>
          <w:rStyle w:val="s14"/>
          <w:rFonts w:ascii="Georgia" w:hAnsi="Georgia"/>
          <w:i/>
          <w:lang w:val="fr-FR"/>
        </w:rPr>
        <w:t xml:space="preserve"> </w:t>
      </w:r>
      <w:r w:rsidR="002328CD" w:rsidRPr="002328CD">
        <w:rPr>
          <w:rStyle w:val="s14"/>
          <w:rFonts w:ascii="Georgia" w:hAnsi="Georgia"/>
          <w:i/>
          <w:lang w:val="fr-FR"/>
        </w:rPr>
        <w:t xml:space="preserve">tactiles </w:t>
      </w:r>
      <w:r w:rsidRPr="002328CD">
        <w:rPr>
          <w:rStyle w:val="s14"/>
          <w:rFonts w:ascii="Georgia" w:hAnsi="Georgia"/>
          <w:i/>
          <w:lang w:val="fr-FR"/>
        </w:rPr>
        <w:t>représentent la technologie la plus rapide à avoir atteint 50 millions d’utilisateurs en moins de tro</w:t>
      </w:r>
      <w:r w:rsidR="003A1357" w:rsidRPr="002328CD">
        <w:rPr>
          <w:rStyle w:val="s14"/>
          <w:rFonts w:ascii="Georgia" w:hAnsi="Georgia"/>
          <w:i/>
          <w:lang w:val="fr-FR"/>
        </w:rPr>
        <w:t>is ans</w:t>
      </w:r>
      <w:r w:rsidR="002328CD" w:rsidRPr="002328CD">
        <w:rPr>
          <w:rStyle w:val="s14"/>
          <w:rFonts w:ascii="Georgia" w:hAnsi="Georgia"/>
          <w:i/>
          <w:lang w:val="fr-FR"/>
        </w:rPr>
        <w:t xml:space="preserve"> aux USA</w:t>
      </w:r>
      <w:r w:rsidR="003A1357" w:rsidRPr="002328CD">
        <w:rPr>
          <w:rStyle w:val="s14"/>
          <w:rFonts w:ascii="Georgia" w:hAnsi="Georgia"/>
          <w:i/>
          <w:lang w:val="fr-FR"/>
        </w:rPr>
        <w:t>.</w:t>
      </w:r>
      <w:r w:rsidRPr="002328CD">
        <w:rPr>
          <w:rStyle w:val="s14"/>
          <w:rFonts w:ascii="Georgia" w:hAnsi="Georgia"/>
          <w:i/>
          <w:lang w:val="fr-FR"/>
        </w:rPr>
        <w:t xml:space="preserve"> Parce qu’elles </w:t>
      </w:r>
      <w:r w:rsidR="002328CD" w:rsidRPr="002328CD">
        <w:rPr>
          <w:rStyle w:val="s14"/>
          <w:rFonts w:ascii="Georgia" w:hAnsi="Georgia"/>
          <w:i/>
          <w:lang w:val="fr-FR"/>
        </w:rPr>
        <w:t>deviennent</w:t>
      </w:r>
      <w:r w:rsidRPr="002328CD">
        <w:rPr>
          <w:rStyle w:val="s14"/>
          <w:rFonts w:ascii="Georgia" w:hAnsi="Georgia"/>
          <w:i/>
          <w:lang w:val="fr-FR"/>
        </w:rPr>
        <w:t xml:space="preserve"> maintenant plus abordables, nous assistons à une explosion </w:t>
      </w:r>
      <w:r w:rsidR="002328CD" w:rsidRPr="002328CD">
        <w:rPr>
          <w:rStyle w:val="s14"/>
          <w:rFonts w:ascii="Georgia" w:hAnsi="Georgia"/>
          <w:i/>
          <w:lang w:val="fr-FR"/>
        </w:rPr>
        <w:t xml:space="preserve">de l’internet mobile </w:t>
      </w:r>
      <w:r w:rsidRPr="002328CD">
        <w:rPr>
          <w:rStyle w:val="s14"/>
          <w:rFonts w:ascii="Georgia" w:hAnsi="Georgia"/>
          <w:i/>
          <w:lang w:val="fr-FR"/>
        </w:rPr>
        <w:t>en volume</w:t>
      </w:r>
      <w:r w:rsidR="002328CD" w:rsidRPr="002328CD">
        <w:rPr>
          <w:rStyle w:val="s14"/>
          <w:rFonts w:ascii="Georgia" w:hAnsi="Georgia"/>
          <w:i/>
          <w:lang w:val="fr-FR"/>
        </w:rPr>
        <w:t xml:space="preserve"> et une diversification des usages – en particulier en tant que « second écran » complémentaire de la TV</w:t>
      </w:r>
      <w:r w:rsidR="005A6E3C" w:rsidRPr="002328CD">
        <w:rPr>
          <w:rStyle w:val="s14"/>
          <w:rFonts w:ascii="Georgia" w:hAnsi="Georgia"/>
          <w:i/>
          <w:lang w:val="fr-FR"/>
        </w:rPr>
        <w:t>. Les annonceurs embrassent graduellement les nouvelles opportunités commerciales pour leurs marques : la publicité mobile représente d’ores et déjà 6 milliards au niveau mondial, soit 6% de la publicité numérique et 1% de la publicité en totalité. Magna Global voit ce format s’élever à 24 milliards d’ici 2017, pour atteindre 14% de la publicité numérique mondiale et 4% des recettes publicitaires globales ».</w:t>
      </w:r>
    </w:p>
    <w:p w14:paraId="11D89469" w14:textId="77777777" w:rsidR="004343E3" w:rsidRDefault="004343E3" w:rsidP="00D641AD">
      <w:pPr>
        <w:pStyle w:val="s15"/>
        <w:spacing w:before="0" w:beforeAutospacing="0" w:after="0" w:afterAutospacing="0"/>
        <w:rPr>
          <w:rStyle w:val="s14"/>
          <w:rFonts w:ascii="Georgia" w:hAnsi="Georgia"/>
          <w:i/>
          <w:lang w:val="fr-FR"/>
        </w:rPr>
      </w:pPr>
    </w:p>
    <w:p w14:paraId="3CC24C92" w14:textId="5D286AEB" w:rsidR="004343E3" w:rsidRDefault="004343E3" w:rsidP="004343E3">
      <w:pPr>
        <w:pStyle w:val="Titre1"/>
        <w:rPr>
          <w:rStyle w:val="s14"/>
          <w:rFonts w:ascii="Georgia" w:hAnsi="Georgia"/>
          <w:i/>
          <w:smallCaps/>
          <w:lang w:val="fr-FR"/>
        </w:rPr>
      </w:pPr>
      <w:r w:rsidRPr="008D473B">
        <w:rPr>
          <w:rStyle w:val="s14"/>
          <w:rFonts w:ascii="Georgia" w:hAnsi="Georgia"/>
          <w:i/>
          <w:smallCaps/>
          <w:lang w:val="fr-FR"/>
        </w:rPr>
        <w:t>France : -2.5% en 2012</w:t>
      </w:r>
    </w:p>
    <w:p w14:paraId="59B7F794" w14:textId="77777777" w:rsidR="008D473B" w:rsidRDefault="008D473B" w:rsidP="008D473B">
      <w:pPr>
        <w:rPr>
          <w:lang w:val="fr-FR"/>
        </w:rPr>
      </w:pPr>
    </w:p>
    <w:p w14:paraId="40B1C429" w14:textId="77777777" w:rsidR="008D473B" w:rsidRPr="008D473B" w:rsidRDefault="008D473B" w:rsidP="008D473B">
      <w:pPr>
        <w:jc w:val="both"/>
        <w:rPr>
          <w:lang w:val="fr-FR"/>
        </w:rPr>
      </w:pPr>
      <w:r w:rsidRPr="008D473B">
        <w:rPr>
          <w:lang w:val="fr-FR"/>
        </w:rPr>
        <w:t>En France, MAGNA GLOBAL estime que les investissements publicitaires ont décru de 2.5% en 2012.  La télévision reste le media dominant avec une part de marche de 32%, mais les recettes publicitaires ont baissé de 5.3% à 3,3 milliards d'euros. La presse continue de souffrir, qui subit de plein fouet l'impact de la récession économique, de la baisse d'audience et de la compétition des medias numériques. Les recettes de presse quotidienne baissent de 8,5% à 1,3 milliards d'euros; les revenus publicitaires des magazines reculent de 4,3% à 1,4 milliards d'euros. La publicité extérieure devrait être stable autour de 1,2 milliards d'euros, grâce à la forte croissance de l'affichage numérique dans les transports (rail, métro, aéroports). Comme l'an dernier, la radio profite de son statut de "média de crise" (flexible, bon marché, efficace sur l'activation des ventes) et progresse de 0,5% à 0,75 milliards d'euros. Enfin la publicité sur internet devrait croitre de 3.9% à 2,1 milliards d'euros grâce à une forte croissance des formats vidéo et mobile, tandis que le "display" traditionnel (bannières) stagne.</w:t>
      </w:r>
    </w:p>
    <w:p w14:paraId="7EBF283D" w14:textId="77777777" w:rsidR="008D473B" w:rsidRPr="008D473B" w:rsidRDefault="008D473B" w:rsidP="008D473B">
      <w:pPr>
        <w:rPr>
          <w:lang w:val="fr-FR"/>
        </w:rPr>
      </w:pPr>
    </w:p>
    <w:p w14:paraId="0677BA14" w14:textId="77777777" w:rsidR="008D473B" w:rsidRPr="008D473B" w:rsidRDefault="008D473B" w:rsidP="008D473B">
      <w:pPr>
        <w:jc w:val="both"/>
        <w:rPr>
          <w:lang w:val="fr-FR"/>
        </w:rPr>
      </w:pPr>
      <w:r w:rsidRPr="008D473B">
        <w:rPr>
          <w:lang w:val="fr-FR"/>
        </w:rPr>
        <w:t xml:space="preserve">Pour 2013, les prévisions de croissance économique du FMI (PIB en volume +0.1%) ne laissent pas espérer de reprise dans l'immédiat. MAGNA GLOBAL prévoit une nouvelle décroissance de 0.9% du marché français à 10,3 milliards d’euros. La France devrait faire un peu moins bien que la moyenne d’Europe occidentale (-0.1%) mais mieux que le reste de l’Europe du Sud. L'ensemble des médias traditionnels devrait de nouveau perdre du terrain sur les media numériques qui verront leurs recettes croitre de 4,3% et atteindre une part de marche de 23%. </w:t>
      </w:r>
    </w:p>
    <w:p w14:paraId="3A2A45CB" w14:textId="77777777" w:rsidR="008D473B" w:rsidRPr="008D473B" w:rsidRDefault="008D473B" w:rsidP="008D473B">
      <w:pPr>
        <w:rPr>
          <w:lang w:val="fr-FR"/>
        </w:rPr>
      </w:pPr>
    </w:p>
    <w:p w14:paraId="5FB71FD8" w14:textId="77777777" w:rsidR="008D473B" w:rsidRDefault="008D473B" w:rsidP="008D473B">
      <w:pPr>
        <w:rPr>
          <w:lang w:val="fr-FR"/>
        </w:rPr>
      </w:pPr>
    </w:p>
    <w:p w14:paraId="0F4D9E01" w14:textId="77777777" w:rsidR="008D473B" w:rsidRDefault="008D473B" w:rsidP="008D473B">
      <w:pPr>
        <w:rPr>
          <w:lang w:val="fr-FR"/>
        </w:rPr>
      </w:pPr>
    </w:p>
    <w:p w14:paraId="2FB33B7F" w14:textId="77777777" w:rsidR="008D473B" w:rsidRDefault="008D473B" w:rsidP="008D473B">
      <w:pPr>
        <w:rPr>
          <w:lang w:val="fr-FR"/>
        </w:rPr>
      </w:pPr>
    </w:p>
    <w:p w14:paraId="09FE3448" w14:textId="77777777" w:rsidR="008D473B" w:rsidRDefault="008D473B" w:rsidP="008D473B">
      <w:pPr>
        <w:rPr>
          <w:lang w:val="fr-FR"/>
        </w:rPr>
      </w:pPr>
    </w:p>
    <w:p w14:paraId="78286A05" w14:textId="77777777" w:rsidR="008D473B" w:rsidRDefault="008D473B" w:rsidP="008D473B">
      <w:pPr>
        <w:rPr>
          <w:lang w:val="fr-FR"/>
        </w:rPr>
      </w:pPr>
    </w:p>
    <w:p w14:paraId="4178470A" w14:textId="77777777" w:rsidR="008D473B" w:rsidRDefault="008D473B" w:rsidP="008D473B">
      <w:pPr>
        <w:rPr>
          <w:lang w:val="fr-FR"/>
        </w:rPr>
      </w:pPr>
    </w:p>
    <w:p w14:paraId="3E4A22D3" w14:textId="77777777" w:rsidR="008D473B" w:rsidRDefault="008D473B" w:rsidP="008D473B">
      <w:pPr>
        <w:rPr>
          <w:lang w:val="fr-FR"/>
        </w:rPr>
      </w:pPr>
    </w:p>
    <w:p w14:paraId="02C43CE4" w14:textId="77777777" w:rsidR="008D473B" w:rsidRPr="008D473B" w:rsidRDefault="008D473B" w:rsidP="008D473B">
      <w:pPr>
        <w:rPr>
          <w:lang w:val="fr-FR"/>
        </w:rPr>
      </w:pPr>
      <w:r w:rsidRPr="008D473B">
        <w:rPr>
          <w:lang w:val="fr-FR"/>
        </w:rPr>
        <w:t>Télévision: -3.1%</w:t>
      </w:r>
    </w:p>
    <w:p w14:paraId="3D609686" w14:textId="77777777" w:rsidR="008D473B" w:rsidRPr="008D473B" w:rsidRDefault="008D473B" w:rsidP="008D473B">
      <w:pPr>
        <w:rPr>
          <w:lang w:val="fr-FR"/>
        </w:rPr>
      </w:pPr>
      <w:r w:rsidRPr="008D473B">
        <w:rPr>
          <w:lang w:val="fr-FR"/>
        </w:rPr>
        <w:t>PQ: -6.7%</w:t>
      </w:r>
    </w:p>
    <w:p w14:paraId="3D7B6627" w14:textId="77777777" w:rsidR="008D473B" w:rsidRPr="008D473B" w:rsidRDefault="008D473B" w:rsidP="008D473B">
      <w:pPr>
        <w:rPr>
          <w:lang w:val="fr-FR"/>
        </w:rPr>
      </w:pPr>
      <w:r w:rsidRPr="008D473B">
        <w:rPr>
          <w:lang w:val="fr-FR"/>
        </w:rPr>
        <w:t>Magazines -3.8%</w:t>
      </w:r>
    </w:p>
    <w:p w14:paraId="420ABDFC" w14:textId="77777777" w:rsidR="008D473B" w:rsidRPr="008D473B" w:rsidRDefault="008D473B" w:rsidP="008D473B">
      <w:pPr>
        <w:rPr>
          <w:lang w:val="fr-FR"/>
        </w:rPr>
      </w:pPr>
      <w:r w:rsidRPr="008D473B">
        <w:rPr>
          <w:lang w:val="fr-FR"/>
        </w:rPr>
        <w:t>Radio +1.1%</w:t>
      </w:r>
    </w:p>
    <w:p w14:paraId="312741E4" w14:textId="77777777" w:rsidR="008D473B" w:rsidRPr="008D473B" w:rsidRDefault="008D473B" w:rsidP="008D473B">
      <w:pPr>
        <w:rPr>
          <w:lang w:val="fr-FR"/>
        </w:rPr>
      </w:pPr>
      <w:r w:rsidRPr="008D473B">
        <w:rPr>
          <w:lang w:val="fr-FR"/>
        </w:rPr>
        <w:t>PE: +2.0%</w:t>
      </w:r>
    </w:p>
    <w:p w14:paraId="4A179D65" w14:textId="77777777" w:rsidR="008D473B" w:rsidRPr="008D473B" w:rsidRDefault="008D473B" w:rsidP="008D473B">
      <w:pPr>
        <w:rPr>
          <w:lang w:val="fr-FR"/>
        </w:rPr>
      </w:pPr>
      <w:r w:rsidRPr="008D473B">
        <w:rPr>
          <w:lang w:val="fr-FR"/>
        </w:rPr>
        <w:t>Cinéma : +5%</w:t>
      </w:r>
    </w:p>
    <w:p w14:paraId="06FE162B" w14:textId="77777777" w:rsidR="008D473B" w:rsidRPr="008D473B" w:rsidRDefault="008D473B" w:rsidP="008D473B">
      <w:pPr>
        <w:rPr>
          <w:lang w:val="fr-FR"/>
        </w:rPr>
      </w:pPr>
      <w:r w:rsidRPr="008D473B">
        <w:rPr>
          <w:lang w:val="fr-FR"/>
        </w:rPr>
        <w:t>Internet : +4.3%</w:t>
      </w:r>
    </w:p>
    <w:p w14:paraId="5CA5275E" w14:textId="74138E90" w:rsidR="008D473B" w:rsidRPr="008D473B" w:rsidRDefault="008D473B" w:rsidP="008D473B">
      <w:pPr>
        <w:rPr>
          <w:lang w:val="fr-FR"/>
        </w:rPr>
      </w:pPr>
      <w:r>
        <w:rPr>
          <w:lang w:val="fr-FR"/>
        </w:rPr>
        <w:t>Total Grands Mé</w:t>
      </w:r>
      <w:r w:rsidRPr="008D473B">
        <w:rPr>
          <w:lang w:val="fr-FR"/>
        </w:rPr>
        <w:t>dias : -0.9%</w:t>
      </w:r>
    </w:p>
    <w:p w14:paraId="46E42062" w14:textId="77777777" w:rsidR="008D473B" w:rsidRPr="008D473B" w:rsidRDefault="008D473B" w:rsidP="008D473B">
      <w:pPr>
        <w:rPr>
          <w:color w:val="1F497D"/>
          <w:lang w:val="fr-FR"/>
        </w:rPr>
      </w:pPr>
    </w:p>
    <w:p w14:paraId="01A1D93D" w14:textId="77777777" w:rsidR="008D473B" w:rsidRPr="008D473B" w:rsidRDefault="008D473B" w:rsidP="008D473B">
      <w:pPr>
        <w:rPr>
          <w:lang w:val="fr-FR"/>
        </w:rPr>
      </w:pPr>
    </w:p>
    <w:p w14:paraId="73E9459C" w14:textId="7E6B4EA5" w:rsidR="00732768" w:rsidRPr="008D473B" w:rsidRDefault="008D473B" w:rsidP="00732768">
      <w:pPr>
        <w:pStyle w:val="Titre1"/>
        <w:rPr>
          <w:rStyle w:val="s14"/>
          <w:rFonts w:ascii="Georgia" w:hAnsi="Georgia"/>
          <w:smallCaps/>
          <w:u w:val="single"/>
          <w:lang w:val="fr-FR"/>
        </w:rPr>
      </w:pPr>
      <w:r>
        <w:rPr>
          <w:rStyle w:val="s14"/>
          <w:rFonts w:ascii="Georgia" w:hAnsi="Georgia"/>
          <w:smallCaps/>
          <w:u w:val="single"/>
          <w:lang w:val="fr-FR"/>
        </w:rPr>
        <w:t>2</w:t>
      </w:r>
      <w:r w:rsidR="003F1D69" w:rsidRPr="008D473B">
        <w:rPr>
          <w:rStyle w:val="s14"/>
          <w:rFonts w:ascii="Georgia" w:hAnsi="Georgia"/>
          <w:smallCaps/>
          <w:u w:val="single"/>
          <w:lang w:val="fr-FR"/>
        </w:rPr>
        <w:t xml:space="preserve">014 </w:t>
      </w:r>
      <w:r w:rsidR="003A1357" w:rsidRPr="008D473B">
        <w:rPr>
          <w:rStyle w:val="s14"/>
          <w:rFonts w:ascii="Georgia" w:hAnsi="Georgia"/>
          <w:smallCaps/>
          <w:u w:val="single"/>
          <w:lang w:val="fr-FR"/>
        </w:rPr>
        <w:t>et au-delà: moteur</w:t>
      </w:r>
      <w:r w:rsidR="00E26407" w:rsidRPr="008D473B">
        <w:rPr>
          <w:rStyle w:val="s14"/>
          <w:rFonts w:ascii="Georgia" w:hAnsi="Georgia"/>
          <w:smallCaps/>
          <w:u w:val="single"/>
          <w:lang w:val="fr-FR"/>
        </w:rPr>
        <w:t>s</w:t>
      </w:r>
      <w:r w:rsidR="003A1357" w:rsidRPr="008D473B">
        <w:rPr>
          <w:rStyle w:val="s14"/>
          <w:rFonts w:ascii="Georgia" w:hAnsi="Georgia"/>
          <w:smallCaps/>
          <w:u w:val="single"/>
          <w:lang w:val="fr-FR"/>
        </w:rPr>
        <w:t xml:space="preserve"> et inhibiteurs</w:t>
      </w:r>
    </w:p>
    <w:p w14:paraId="572060DD" w14:textId="77777777" w:rsidR="00732768" w:rsidRPr="003A1357" w:rsidRDefault="00732768" w:rsidP="00D641AD">
      <w:pPr>
        <w:pStyle w:val="s15"/>
        <w:spacing w:before="0" w:beforeAutospacing="0" w:after="0" w:afterAutospacing="0"/>
        <w:rPr>
          <w:rStyle w:val="s14"/>
          <w:rFonts w:ascii="Georgia" w:hAnsi="Georgia"/>
          <w:lang w:val="fr-FR"/>
        </w:rPr>
      </w:pPr>
    </w:p>
    <w:p w14:paraId="77BEADAA" w14:textId="77777777" w:rsidR="00B63277" w:rsidRDefault="003A1357" w:rsidP="008D473B">
      <w:pPr>
        <w:jc w:val="both"/>
        <w:rPr>
          <w:rFonts w:ascii="Georgia" w:hAnsi="Georgia"/>
          <w:lang w:val="fr-FR"/>
        </w:rPr>
      </w:pPr>
      <w:r>
        <w:rPr>
          <w:rFonts w:ascii="Georgia" w:hAnsi="Georgia"/>
          <w:lang w:val="fr-FR"/>
        </w:rPr>
        <w:t xml:space="preserve">Bien que nous nous attendions à une croissance publicitaire robuste dès 2014, alors que l’économie mondiale se stabilise, nous avons légèrement réduit nos prévisions à moyen </w:t>
      </w:r>
      <w:r>
        <w:rPr>
          <w:rFonts w:ascii="Georgia" w:hAnsi="Georgia"/>
          <w:lang w:val="fr-FR"/>
        </w:rPr>
        <w:lastRenderedPageBreak/>
        <w:t>terme. Nous nous attendons à une croissance de 6% en 2014 (6,3% précédemment) et de 4,9% en 2015 (5,3% précédemment).</w:t>
      </w:r>
      <w:r w:rsidR="00D57458">
        <w:rPr>
          <w:rFonts w:ascii="Georgia" w:hAnsi="Georgia"/>
          <w:lang w:val="fr-FR"/>
        </w:rPr>
        <w:t xml:space="preserve"> Les facteurs de ralentissement sont toujours à l’œuvre. Parmi eux, </w:t>
      </w:r>
      <w:r w:rsidR="00D57458" w:rsidRPr="00B63277">
        <w:rPr>
          <w:rFonts w:ascii="Georgia" w:hAnsi="Georgia"/>
          <w:b/>
          <w:lang w:val="fr-FR"/>
        </w:rPr>
        <w:t>le passage au numérique et la pression déflationniste qu’il engendre</w:t>
      </w:r>
      <w:r w:rsidR="00D57458">
        <w:rPr>
          <w:rFonts w:ascii="Georgia" w:hAnsi="Georgia"/>
          <w:lang w:val="fr-FR"/>
        </w:rPr>
        <w:t xml:space="preserve">. </w:t>
      </w:r>
    </w:p>
    <w:p w14:paraId="08EA17A3" w14:textId="77777777" w:rsidR="00B63277" w:rsidRDefault="00B63277" w:rsidP="008D473B">
      <w:pPr>
        <w:jc w:val="both"/>
        <w:rPr>
          <w:rFonts w:ascii="Georgia" w:hAnsi="Georgia"/>
          <w:lang w:val="fr-FR"/>
        </w:rPr>
      </w:pPr>
    </w:p>
    <w:p w14:paraId="21DE10BC" w14:textId="775F623C" w:rsidR="003A1357" w:rsidRDefault="00D57458" w:rsidP="008D473B">
      <w:pPr>
        <w:jc w:val="both"/>
        <w:rPr>
          <w:rFonts w:ascii="Georgia" w:hAnsi="Georgia"/>
          <w:lang w:val="fr-FR"/>
        </w:rPr>
      </w:pPr>
      <w:r>
        <w:rPr>
          <w:rFonts w:ascii="Georgia" w:hAnsi="Georgia"/>
          <w:lang w:val="fr-FR"/>
        </w:rPr>
        <w:t>Notre</w:t>
      </w:r>
      <w:r w:rsidR="00BD4FB8">
        <w:rPr>
          <w:rFonts w:ascii="Georgia" w:hAnsi="Georgia"/>
          <w:lang w:val="fr-FR"/>
        </w:rPr>
        <w:t xml:space="preserve"> étude </w:t>
      </w:r>
      <w:r w:rsidR="00B63277">
        <w:rPr>
          <w:rFonts w:ascii="Georgia" w:hAnsi="Georgia"/>
          <w:lang w:val="fr-FR"/>
        </w:rPr>
        <w:t xml:space="preserve">mondiale </w:t>
      </w:r>
      <w:r w:rsidR="00BD4FB8">
        <w:rPr>
          <w:rFonts w:ascii="Georgia" w:hAnsi="Georgia"/>
          <w:lang w:val="fr-FR"/>
        </w:rPr>
        <w:t>sur les co</w:t>
      </w:r>
      <w:r w:rsidR="00BD4FB8" w:rsidRPr="00BD4FB8">
        <w:rPr>
          <w:rFonts w:ascii="Georgia" w:hAnsi="Georgia"/>
          <w:lang w:val="fr-FR"/>
        </w:rPr>
        <w:t>û</w:t>
      </w:r>
      <w:r w:rsidR="00BD4FB8">
        <w:rPr>
          <w:rFonts w:ascii="Georgia" w:hAnsi="Georgia"/>
          <w:lang w:val="fr-FR"/>
        </w:rPr>
        <w:t>ts des médias en 2012 a montré que le co</w:t>
      </w:r>
      <w:r w:rsidR="00BD4FB8" w:rsidRPr="00BD4FB8">
        <w:rPr>
          <w:rFonts w:ascii="Georgia" w:hAnsi="Georgia"/>
          <w:lang w:val="fr-FR"/>
        </w:rPr>
        <w:t>û</w:t>
      </w:r>
      <w:r w:rsidR="00B63277">
        <w:rPr>
          <w:rFonts w:ascii="Georgia" w:hAnsi="Georgia"/>
          <w:lang w:val="fr-FR"/>
        </w:rPr>
        <w:t>t-pour</w:t>
      </w:r>
      <w:r w:rsidR="00BD4FB8">
        <w:rPr>
          <w:rFonts w:ascii="Georgia" w:hAnsi="Georgia"/>
          <w:lang w:val="fr-FR"/>
        </w:rPr>
        <w:t>-mille</w:t>
      </w:r>
      <w:r w:rsidR="00301C4A">
        <w:rPr>
          <w:rFonts w:ascii="Georgia" w:hAnsi="Georgia"/>
          <w:lang w:val="fr-FR"/>
        </w:rPr>
        <w:t xml:space="preserve"> (CPM)</w:t>
      </w:r>
      <w:r w:rsidR="00BD4FB8">
        <w:rPr>
          <w:rFonts w:ascii="Georgia" w:hAnsi="Georgia"/>
          <w:lang w:val="fr-FR"/>
        </w:rPr>
        <w:t xml:space="preserve"> est d’en moyenne 39 dollars dans la presse quotidienne et 21 dollars dans les magazines, dans les 40 marchés analysés. </w:t>
      </w:r>
      <w:r w:rsidR="00AE3B77">
        <w:rPr>
          <w:rFonts w:ascii="Georgia" w:hAnsi="Georgia"/>
          <w:lang w:val="fr-FR"/>
        </w:rPr>
        <w:t>Ces</w:t>
      </w:r>
      <w:r w:rsidR="00BD4FB8">
        <w:rPr>
          <w:rFonts w:ascii="Georgia" w:hAnsi="Georgia"/>
          <w:lang w:val="fr-FR"/>
        </w:rPr>
        <w:t xml:space="preserve"> co</w:t>
      </w:r>
      <w:r w:rsidR="00BD4FB8" w:rsidRPr="00BD4FB8">
        <w:rPr>
          <w:rFonts w:ascii="Georgia" w:hAnsi="Georgia"/>
          <w:lang w:val="fr-FR"/>
        </w:rPr>
        <w:t>û</w:t>
      </w:r>
      <w:r w:rsidR="00BD4FB8">
        <w:rPr>
          <w:rFonts w:ascii="Georgia" w:hAnsi="Georgia"/>
          <w:lang w:val="fr-FR"/>
        </w:rPr>
        <w:t>ts</w:t>
      </w:r>
      <w:r w:rsidR="00AE3B77">
        <w:rPr>
          <w:rFonts w:ascii="Georgia" w:hAnsi="Georgia"/>
          <w:lang w:val="fr-FR"/>
        </w:rPr>
        <w:t xml:space="preserve"> dépassent ceux</w:t>
      </w:r>
      <w:r w:rsidR="00BD4FB8">
        <w:rPr>
          <w:rFonts w:ascii="Georgia" w:hAnsi="Georgia"/>
          <w:lang w:val="fr-FR"/>
        </w:rPr>
        <w:t xml:space="preserve"> de la télévision et </w:t>
      </w:r>
      <w:r w:rsidR="00AE3B77">
        <w:rPr>
          <w:rFonts w:ascii="Georgia" w:hAnsi="Georgia"/>
          <w:lang w:val="fr-FR"/>
        </w:rPr>
        <w:t xml:space="preserve">sont </w:t>
      </w:r>
      <w:r w:rsidR="00BD4FB8">
        <w:rPr>
          <w:rFonts w:ascii="Georgia" w:hAnsi="Georgia"/>
          <w:lang w:val="fr-FR"/>
        </w:rPr>
        <w:t>cinq fois plus</w:t>
      </w:r>
      <w:r w:rsidR="00AE3B77">
        <w:rPr>
          <w:rFonts w:ascii="Georgia" w:hAnsi="Georgia"/>
          <w:lang w:val="fr-FR"/>
        </w:rPr>
        <w:t xml:space="preserve"> élevés</w:t>
      </w:r>
      <w:r w:rsidR="00BD4FB8">
        <w:rPr>
          <w:rFonts w:ascii="Georgia" w:hAnsi="Georgia"/>
          <w:lang w:val="fr-FR"/>
        </w:rPr>
        <w:t xml:space="preserve"> qu’en display en ligne.</w:t>
      </w:r>
    </w:p>
    <w:p w14:paraId="4F0E6ED5" w14:textId="77777777" w:rsidR="00751CEF" w:rsidRDefault="00751CEF" w:rsidP="008D473B">
      <w:pPr>
        <w:jc w:val="both"/>
        <w:rPr>
          <w:rFonts w:ascii="Georgia" w:hAnsi="Georgia"/>
          <w:lang w:val="fr-FR"/>
        </w:rPr>
      </w:pPr>
    </w:p>
    <w:p w14:paraId="51BB56F2" w14:textId="7B4673D2" w:rsidR="00732768" w:rsidRDefault="00751CEF" w:rsidP="008D473B">
      <w:pPr>
        <w:jc w:val="both"/>
        <w:rPr>
          <w:rFonts w:ascii="Georgia" w:hAnsi="Georgia"/>
          <w:lang w:val="fr-FR"/>
        </w:rPr>
      </w:pPr>
      <w:r>
        <w:rPr>
          <w:rFonts w:ascii="Georgia" w:hAnsi="Georgia"/>
          <w:lang w:val="fr-FR"/>
        </w:rPr>
        <w:t xml:space="preserve">Entre temps, la publicité en ligne devient moins chère </w:t>
      </w:r>
      <w:r w:rsidR="007B5215">
        <w:rPr>
          <w:rFonts w:ascii="Georgia" w:hAnsi="Georgia"/>
          <w:lang w:val="fr-FR"/>
        </w:rPr>
        <w:t xml:space="preserve">grâce au boom de </w:t>
      </w:r>
      <w:r>
        <w:rPr>
          <w:rFonts w:ascii="Georgia" w:hAnsi="Georgia"/>
          <w:lang w:val="fr-FR"/>
        </w:rPr>
        <w:t>l’achat programmatique.</w:t>
      </w:r>
      <w:r w:rsidR="007B5215">
        <w:rPr>
          <w:rFonts w:ascii="Georgia" w:hAnsi="Georgia"/>
          <w:lang w:val="fr-FR"/>
        </w:rPr>
        <w:t xml:space="preserve"> Une récente étude de Magna Global prévoit que 43% de l’ensemble du display sera </w:t>
      </w:r>
      <w:r w:rsidR="00DE018C">
        <w:rPr>
          <w:rFonts w:ascii="Georgia" w:hAnsi="Georgia"/>
          <w:lang w:val="fr-FR"/>
        </w:rPr>
        <w:t>vendu</w:t>
      </w:r>
      <w:r w:rsidR="007B5215">
        <w:rPr>
          <w:rFonts w:ascii="Georgia" w:hAnsi="Georgia"/>
          <w:lang w:val="fr-FR"/>
        </w:rPr>
        <w:t xml:space="preserve"> par l’intermédiaire de mécanismes programmatiques </w:t>
      </w:r>
      <w:r w:rsidR="00DE018C">
        <w:rPr>
          <w:rFonts w:ascii="Georgia" w:hAnsi="Georgia"/>
          <w:lang w:val="fr-FR"/>
        </w:rPr>
        <w:t xml:space="preserve">automatisés </w:t>
      </w:r>
      <w:r w:rsidR="007B5215">
        <w:rPr>
          <w:rFonts w:ascii="Georgia" w:hAnsi="Georgia"/>
          <w:lang w:val="fr-FR"/>
        </w:rPr>
        <w:t>(</w:t>
      </w:r>
      <w:r w:rsidR="00DE018C">
        <w:rPr>
          <w:rFonts w:ascii="Georgia" w:hAnsi="Georgia"/>
          <w:lang w:val="fr-FR"/>
        </w:rPr>
        <w:t>ou « </w:t>
      </w:r>
      <w:r w:rsidR="007B5215">
        <w:rPr>
          <w:rFonts w:ascii="Georgia" w:hAnsi="Georgia"/>
          <w:lang w:val="fr-FR"/>
        </w:rPr>
        <w:t>exchanges</w:t>
      </w:r>
      <w:r w:rsidR="00DE018C">
        <w:rPr>
          <w:rFonts w:ascii="Georgia" w:hAnsi="Georgia"/>
          <w:lang w:val="fr-FR"/>
        </w:rPr>
        <w:t> »</w:t>
      </w:r>
      <w:r w:rsidR="007B5215">
        <w:rPr>
          <w:rFonts w:ascii="Georgia" w:hAnsi="Georgia"/>
          <w:lang w:val="fr-FR"/>
        </w:rPr>
        <w:t xml:space="preserve">) aux Etats-Unis d’ici 2017. Dans le </w:t>
      </w:r>
      <w:r w:rsidR="00301C4A">
        <w:rPr>
          <w:rFonts w:ascii="Georgia" w:hAnsi="Georgia"/>
          <w:lang w:val="fr-FR"/>
        </w:rPr>
        <w:t>même</w:t>
      </w:r>
      <w:r w:rsidR="007B5215">
        <w:rPr>
          <w:rFonts w:ascii="Georgia" w:hAnsi="Georgia"/>
          <w:lang w:val="fr-FR"/>
        </w:rPr>
        <w:t xml:space="preserve"> temps, les formats </w:t>
      </w:r>
      <w:r w:rsidR="00DC44F0">
        <w:rPr>
          <w:rFonts w:ascii="Georgia" w:hAnsi="Georgia"/>
          <w:lang w:val="fr-FR"/>
        </w:rPr>
        <w:t xml:space="preserve">publicitaires </w:t>
      </w:r>
      <w:r w:rsidR="007B5215">
        <w:rPr>
          <w:rFonts w:ascii="Georgia" w:hAnsi="Georgia"/>
          <w:lang w:val="fr-FR"/>
        </w:rPr>
        <w:t xml:space="preserve">haut de gamme et </w:t>
      </w:r>
      <w:r w:rsidR="00301C4A" w:rsidRPr="00301C4A">
        <w:rPr>
          <w:rFonts w:ascii="Georgia" w:hAnsi="Georgia"/>
          <w:lang w:val="fr-FR"/>
        </w:rPr>
        <w:t>coûteux</w:t>
      </w:r>
      <w:r w:rsidR="007B5215">
        <w:rPr>
          <w:rFonts w:ascii="Georgia" w:hAnsi="Georgia"/>
          <w:lang w:val="fr-FR"/>
        </w:rPr>
        <w:t xml:space="preserve"> tels que le </w:t>
      </w:r>
      <w:r w:rsidR="00301C4A">
        <w:rPr>
          <w:rFonts w:ascii="Georgia" w:hAnsi="Georgia"/>
          <w:lang w:val="fr-FR"/>
        </w:rPr>
        <w:t>vidéo</w:t>
      </w:r>
      <w:r w:rsidR="007B5215">
        <w:rPr>
          <w:rFonts w:ascii="Georgia" w:hAnsi="Georgia"/>
          <w:lang w:val="fr-FR"/>
        </w:rPr>
        <w:t xml:space="preserve"> en ligne, commence</w:t>
      </w:r>
      <w:r w:rsidR="00301C4A">
        <w:rPr>
          <w:rFonts w:ascii="Georgia" w:hAnsi="Georgia"/>
          <w:lang w:val="fr-FR"/>
        </w:rPr>
        <w:t>nt</w:t>
      </w:r>
      <w:r w:rsidR="007B5215">
        <w:rPr>
          <w:rFonts w:ascii="Georgia" w:hAnsi="Georgia"/>
          <w:lang w:val="fr-FR"/>
        </w:rPr>
        <w:t xml:space="preserve"> </w:t>
      </w:r>
      <w:r w:rsidR="00301C4A">
        <w:rPr>
          <w:rFonts w:ascii="Georgia" w:hAnsi="Georgia"/>
          <w:lang w:val="fr-FR"/>
        </w:rPr>
        <w:t>à</w:t>
      </w:r>
      <w:r w:rsidR="007B5215">
        <w:rPr>
          <w:rFonts w:ascii="Georgia" w:hAnsi="Georgia"/>
          <w:lang w:val="fr-FR"/>
        </w:rPr>
        <w:t xml:space="preserve"> </w:t>
      </w:r>
      <w:r w:rsidR="00301C4A">
        <w:rPr>
          <w:rFonts w:ascii="Georgia" w:hAnsi="Georgia"/>
          <w:lang w:val="fr-FR"/>
        </w:rPr>
        <w:t>réduire</w:t>
      </w:r>
      <w:r w:rsidR="007B5215">
        <w:rPr>
          <w:rFonts w:ascii="Georgia" w:hAnsi="Georgia"/>
          <w:lang w:val="fr-FR"/>
        </w:rPr>
        <w:t xml:space="preserve"> leur </w:t>
      </w:r>
      <w:r w:rsidR="00DE018C">
        <w:rPr>
          <w:rFonts w:ascii="Georgia" w:hAnsi="Georgia"/>
          <w:lang w:val="fr-FR"/>
        </w:rPr>
        <w:t>prix</w:t>
      </w:r>
      <w:r w:rsidR="007B5215">
        <w:rPr>
          <w:rFonts w:ascii="Georgia" w:hAnsi="Georgia"/>
          <w:lang w:val="fr-FR"/>
        </w:rPr>
        <w:t xml:space="preserve"> et </w:t>
      </w:r>
      <w:r w:rsidR="00301C4A">
        <w:rPr>
          <w:rFonts w:ascii="Georgia" w:hAnsi="Georgia"/>
          <w:lang w:val="fr-FR"/>
        </w:rPr>
        <w:t>à</w:t>
      </w:r>
      <w:r w:rsidR="007B5215">
        <w:rPr>
          <w:rFonts w:ascii="Georgia" w:hAnsi="Georgia"/>
          <w:lang w:val="fr-FR"/>
        </w:rPr>
        <w:t xml:space="preserve"> aligner leur CPM avec ceux de la </w:t>
      </w:r>
      <w:r w:rsidR="00301C4A">
        <w:rPr>
          <w:rFonts w:ascii="Georgia" w:hAnsi="Georgia"/>
          <w:lang w:val="fr-FR"/>
        </w:rPr>
        <w:t>télévision</w:t>
      </w:r>
      <w:r w:rsidR="007B5215">
        <w:rPr>
          <w:rFonts w:ascii="Georgia" w:hAnsi="Georgia"/>
          <w:lang w:val="fr-FR"/>
        </w:rPr>
        <w:t>.</w:t>
      </w:r>
    </w:p>
    <w:p w14:paraId="66210F22" w14:textId="77777777" w:rsidR="00301C4A" w:rsidRDefault="00301C4A" w:rsidP="008D473B">
      <w:pPr>
        <w:jc w:val="both"/>
        <w:rPr>
          <w:rFonts w:ascii="Georgia" w:hAnsi="Georgia"/>
          <w:lang w:val="fr-FR"/>
        </w:rPr>
      </w:pPr>
    </w:p>
    <w:p w14:paraId="1D4E6664" w14:textId="41A8BFDE" w:rsidR="00301C4A" w:rsidRDefault="00301C4A" w:rsidP="008D473B">
      <w:pPr>
        <w:jc w:val="both"/>
        <w:rPr>
          <w:rFonts w:ascii="Georgia" w:hAnsi="Georgia"/>
          <w:lang w:val="fr-FR"/>
        </w:rPr>
      </w:pPr>
      <w:r>
        <w:rPr>
          <w:rFonts w:ascii="Georgia" w:hAnsi="Georgia"/>
          <w:lang w:val="fr-FR"/>
        </w:rPr>
        <w:t xml:space="preserve">Un espace numérique déflationniste signifie que, </w:t>
      </w:r>
      <w:r w:rsidR="00DC44F0">
        <w:rPr>
          <w:rFonts w:ascii="Georgia" w:hAnsi="Georgia"/>
          <w:lang w:val="fr-FR"/>
        </w:rPr>
        <w:t>lorsque</w:t>
      </w:r>
      <w:r>
        <w:rPr>
          <w:rFonts w:ascii="Georgia" w:hAnsi="Georgia"/>
          <w:lang w:val="fr-FR"/>
        </w:rPr>
        <w:t xml:space="preserve"> les annonceurs </w:t>
      </w:r>
      <w:r w:rsidR="00DC44F0">
        <w:rPr>
          <w:rFonts w:ascii="Georgia" w:hAnsi="Georgia"/>
          <w:lang w:val="fr-FR"/>
        </w:rPr>
        <w:t>transfèrent une partie</w:t>
      </w:r>
      <w:r>
        <w:rPr>
          <w:rFonts w:ascii="Georgia" w:hAnsi="Georgia"/>
          <w:lang w:val="fr-FR"/>
        </w:rPr>
        <w:t xml:space="preserve"> leurs budgets vers les médias numériques afin de suivre les consommateurs,  ils profitent également d’un mix média qui devient moins cher. A moins qu’ils ne se trouvent dans un marché en croissance ou </w:t>
      </w:r>
      <w:r w:rsidR="00944832">
        <w:rPr>
          <w:rFonts w:ascii="Georgia" w:hAnsi="Georgia"/>
          <w:lang w:val="fr-FR"/>
        </w:rPr>
        <w:t xml:space="preserve">très </w:t>
      </w:r>
      <w:r>
        <w:rPr>
          <w:rFonts w:ascii="Georgia" w:hAnsi="Georgia"/>
          <w:lang w:val="fr-FR"/>
        </w:rPr>
        <w:t xml:space="preserve">concurrentiel, </w:t>
      </w:r>
      <w:r w:rsidR="00944832">
        <w:rPr>
          <w:rFonts w:ascii="Georgia" w:hAnsi="Georgia"/>
          <w:lang w:val="fr-FR"/>
        </w:rPr>
        <w:t>les annonceurs n’utilise</w:t>
      </w:r>
      <w:r w:rsidR="006070D8">
        <w:rPr>
          <w:rFonts w:ascii="Georgia" w:hAnsi="Georgia"/>
          <w:lang w:val="fr-FR"/>
        </w:rPr>
        <w:t xml:space="preserve"> </w:t>
      </w:r>
      <w:r w:rsidR="00944832">
        <w:rPr>
          <w:rFonts w:ascii="Georgia" w:hAnsi="Georgia"/>
          <w:lang w:val="fr-FR"/>
        </w:rPr>
        <w:t>pas ces gains d’efficacité</w:t>
      </w:r>
      <w:r>
        <w:rPr>
          <w:rFonts w:ascii="Georgia" w:hAnsi="Georgia"/>
          <w:lang w:val="fr-FR"/>
        </w:rPr>
        <w:t xml:space="preserve"> pour accroitr</w:t>
      </w:r>
      <w:r w:rsidR="00CB343C">
        <w:rPr>
          <w:rFonts w:ascii="Georgia" w:hAnsi="Georgia"/>
          <w:lang w:val="fr-FR"/>
        </w:rPr>
        <w:t>e leur pression publicitaire</w:t>
      </w:r>
      <w:r>
        <w:rPr>
          <w:rFonts w:ascii="Georgia" w:hAnsi="Georgia"/>
          <w:lang w:val="fr-FR"/>
        </w:rPr>
        <w:t>.</w:t>
      </w:r>
      <w:r w:rsidR="00CB343C">
        <w:rPr>
          <w:rFonts w:ascii="Georgia" w:hAnsi="Georgia"/>
          <w:lang w:val="fr-FR"/>
        </w:rPr>
        <w:t xml:space="preserve"> Ce procédé est </w:t>
      </w:r>
      <w:r w:rsidR="006070D8">
        <w:rPr>
          <w:rFonts w:ascii="Georgia" w:hAnsi="Georgia"/>
          <w:lang w:val="fr-FR"/>
        </w:rPr>
        <w:t>à</w:t>
      </w:r>
      <w:r w:rsidR="00CB343C">
        <w:rPr>
          <w:rFonts w:ascii="Georgia" w:hAnsi="Georgia"/>
          <w:lang w:val="fr-FR"/>
        </w:rPr>
        <w:t xml:space="preserve"> l’œuvre dans le monde </w:t>
      </w:r>
      <w:r w:rsidR="00E26407">
        <w:rPr>
          <w:rFonts w:ascii="Georgia" w:hAnsi="Georgia"/>
          <w:lang w:val="fr-FR"/>
        </w:rPr>
        <w:t>développé</w:t>
      </w:r>
      <w:r w:rsidR="00CB343C">
        <w:rPr>
          <w:rFonts w:ascii="Georgia" w:hAnsi="Georgia"/>
          <w:lang w:val="fr-FR"/>
        </w:rPr>
        <w:t xml:space="preserve"> et il </w:t>
      </w:r>
      <w:r w:rsidR="00E26407">
        <w:rPr>
          <w:rFonts w:ascii="Georgia" w:hAnsi="Georgia"/>
          <w:lang w:val="fr-FR"/>
        </w:rPr>
        <w:t>affectera</w:t>
      </w:r>
      <w:r w:rsidR="00CB343C">
        <w:rPr>
          <w:rFonts w:ascii="Georgia" w:hAnsi="Georgia"/>
          <w:lang w:val="fr-FR"/>
        </w:rPr>
        <w:t xml:space="preserve"> graduellement certains marchés </w:t>
      </w:r>
      <w:r w:rsidR="00E26407">
        <w:rPr>
          <w:rFonts w:ascii="Georgia" w:hAnsi="Georgia"/>
          <w:lang w:val="fr-FR"/>
        </w:rPr>
        <w:t>émergents</w:t>
      </w:r>
      <w:r w:rsidR="00CB343C">
        <w:rPr>
          <w:rFonts w:ascii="Georgia" w:hAnsi="Georgia"/>
          <w:lang w:val="fr-FR"/>
        </w:rPr>
        <w:t xml:space="preserve"> dans la période 2014-2017, alors que les m</w:t>
      </w:r>
      <w:r w:rsidR="00E26407">
        <w:rPr>
          <w:rFonts w:ascii="Georgia" w:hAnsi="Georgia"/>
          <w:lang w:val="fr-FR"/>
        </w:rPr>
        <w:t xml:space="preserve">édias numériques atteignent plus de 20% </w:t>
      </w:r>
      <w:r w:rsidR="00944832">
        <w:rPr>
          <w:rFonts w:ascii="Georgia" w:hAnsi="Georgia"/>
          <w:lang w:val="fr-FR"/>
        </w:rPr>
        <w:t xml:space="preserve">de part de marché </w:t>
      </w:r>
      <w:r w:rsidR="00CB343C">
        <w:rPr>
          <w:rFonts w:ascii="Georgia" w:hAnsi="Georgia"/>
          <w:lang w:val="fr-FR"/>
        </w:rPr>
        <w:t xml:space="preserve">et les </w:t>
      </w:r>
      <w:r w:rsidR="00E26407">
        <w:rPr>
          <w:rFonts w:ascii="Georgia" w:hAnsi="Georgia"/>
          <w:lang w:val="fr-FR"/>
        </w:rPr>
        <w:t xml:space="preserve">plateformes </w:t>
      </w:r>
      <w:r w:rsidR="00CB343C">
        <w:rPr>
          <w:rFonts w:ascii="Georgia" w:hAnsi="Georgia"/>
          <w:lang w:val="fr-FR"/>
        </w:rPr>
        <w:t xml:space="preserve">d’achat </w:t>
      </w:r>
      <w:r w:rsidR="00E26407">
        <w:rPr>
          <w:rFonts w:ascii="Georgia" w:hAnsi="Georgia"/>
          <w:lang w:val="fr-FR"/>
        </w:rPr>
        <w:t>programmatique</w:t>
      </w:r>
      <w:r w:rsidR="00CB343C">
        <w:rPr>
          <w:rFonts w:ascii="Georgia" w:hAnsi="Georgia"/>
          <w:lang w:val="fr-FR"/>
        </w:rPr>
        <w:t xml:space="preserve"> se </w:t>
      </w:r>
      <w:r w:rsidR="00E26407">
        <w:rPr>
          <w:rFonts w:ascii="Georgia" w:hAnsi="Georgia"/>
          <w:lang w:val="fr-FR"/>
        </w:rPr>
        <w:t>généralisent</w:t>
      </w:r>
      <w:r w:rsidR="00CB343C">
        <w:rPr>
          <w:rFonts w:ascii="Georgia" w:hAnsi="Georgia"/>
          <w:lang w:val="fr-FR"/>
        </w:rPr>
        <w:t xml:space="preserve">. </w:t>
      </w:r>
    </w:p>
    <w:p w14:paraId="30F3292C" w14:textId="77777777" w:rsidR="00E26407" w:rsidRDefault="00E26407" w:rsidP="008D473B">
      <w:pPr>
        <w:jc w:val="both"/>
        <w:rPr>
          <w:rFonts w:ascii="Georgia" w:hAnsi="Georgia"/>
          <w:lang w:val="fr-FR"/>
        </w:rPr>
      </w:pPr>
    </w:p>
    <w:p w14:paraId="3D26CA79" w14:textId="77777777" w:rsidR="008D473B" w:rsidRDefault="008D473B" w:rsidP="008D473B">
      <w:pPr>
        <w:jc w:val="both"/>
        <w:rPr>
          <w:rFonts w:ascii="Georgia" w:hAnsi="Georgia"/>
          <w:lang w:val="fr-FR"/>
        </w:rPr>
      </w:pPr>
    </w:p>
    <w:p w14:paraId="14326B49" w14:textId="77777777" w:rsidR="008D473B" w:rsidRDefault="008D473B" w:rsidP="008D473B">
      <w:pPr>
        <w:jc w:val="both"/>
        <w:rPr>
          <w:rFonts w:ascii="Georgia" w:hAnsi="Georgia"/>
          <w:lang w:val="fr-FR"/>
        </w:rPr>
      </w:pPr>
    </w:p>
    <w:p w14:paraId="6D4A9580" w14:textId="77777777" w:rsidR="008D473B" w:rsidRDefault="008D473B" w:rsidP="008D473B">
      <w:pPr>
        <w:jc w:val="both"/>
        <w:rPr>
          <w:rFonts w:ascii="Georgia" w:hAnsi="Georgia"/>
          <w:lang w:val="fr-FR"/>
        </w:rPr>
      </w:pPr>
    </w:p>
    <w:p w14:paraId="6156425D" w14:textId="77777777" w:rsidR="008D473B" w:rsidRDefault="008D473B" w:rsidP="008D473B">
      <w:pPr>
        <w:jc w:val="both"/>
        <w:rPr>
          <w:rFonts w:ascii="Georgia" w:hAnsi="Georgia"/>
          <w:lang w:val="fr-FR"/>
        </w:rPr>
      </w:pPr>
    </w:p>
    <w:p w14:paraId="360D5DEF" w14:textId="0A505E58" w:rsidR="00732768" w:rsidRPr="003A1357" w:rsidRDefault="00E26407" w:rsidP="008D473B">
      <w:pPr>
        <w:jc w:val="both"/>
        <w:rPr>
          <w:rStyle w:val="s14"/>
          <w:rFonts w:ascii="Georgia" w:hAnsi="Georgia"/>
          <w:lang w:val="fr-FR"/>
        </w:rPr>
      </w:pPr>
      <w:r>
        <w:rPr>
          <w:rFonts w:ascii="Georgia" w:hAnsi="Georgia"/>
          <w:lang w:val="fr-FR"/>
        </w:rPr>
        <w:t>Parmi les mote</w:t>
      </w:r>
      <w:r w:rsidR="00944832">
        <w:rPr>
          <w:rFonts w:ascii="Georgia" w:hAnsi="Georgia"/>
          <w:lang w:val="fr-FR"/>
        </w:rPr>
        <w:t>urs de croissance, il faut mentionner l</w:t>
      </w:r>
      <w:r>
        <w:rPr>
          <w:rFonts w:ascii="Georgia" w:hAnsi="Georgia"/>
          <w:lang w:val="fr-FR"/>
        </w:rPr>
        <w:t>’innovation dans la mesure d’audience,  le ciblag</w:t>
      </w:r>
      <w:r w:rsidR="00944832">
        <w:rPr>
          <w:rFonts w:ascii="Georgia" w:hAnsi="Georgia"/>
          <w:lang w:val="fr-FR"/>
        </w:rPr>
        <w:t>e</w:t>
      </w:r>
      <w:r>
        <w:rPr>
          <w:rFonts w:ascii="Georgia" w:hAnsi="Georgia"/>
          <w:lang w:val="fr-FR"/>
        </w:rPr>
        <w:t xml:space="preserve"> et la monétisation ainsi que l’aptitude de certaines catégories de médias traditionnels </w:t>
      </w:r>
      <w:proofErr w:type="gramStart"/>
      <w:r>
        <w:rPr>
          <w:rFonts w:ascii="Georgia" w:hAnsi="Georgia"/>
          <w:lang w:val="fr-FR"/>
        </w:rPr>
        <w:t>a</w:t>
      </w:r>
      <w:proofErr w:type="gramEnd"/>
      <w:r>
        <w:rPr>
          <w:rFonts w:ascii="Georgia" w:hAnsi="Georgia"/>
          <w:lang w:val="fr-FR"/>
        </w:rPr>
        <w:t xml:space="preserve"> se réinventer (formats numériques augmentant le rendement et la rentabilité de l’affichage, par exemple). Par ailleurs, l’amélioration de l’accès à l’éducation, l’alphabétisation, et aux médias dans le monde émergent continuera de créer de nouvelles opportunités pour les annonceurs pour étendre leur portée et gagner de nouveaux consommateurs.</w:t>
      </w:r>
    </w:p>
    <w:p w14:paraId="4B0D1956" w14:textId="77777777" w:rsidR="00130A31" w:rsidRPr="003A1357" w:rsidRDefault="00130A31" w:rsidP="008D473B">
      <w:pPr>
        <w:pStyle w:val="s15"/>
        <w:spacing w:before="0" w:beforeAutospacing="0" w:after="0" w:afterAutospacing="0"/>
        <w:jc w:val="both"/>
        <w:rPr>
          <w:rFonts w:ascii="Georgia" w:hAnsi="Georgia"/>
          <w:color w:val="BFBFBF" w:themeColor="background1" w:themeShade="BF"/>
          <w:lang w:val="fr-FR"/>
        </w:rPr>
      </w:pPr>
    </w:p>
    <w:p w14:paraId="4E6CD234" w14:textId="57412247" w:rsidR="00843DD8" w:rsidRPr="003A1357" w:rsidRDefault="00130A31" w:rsidP="008D473B">
      <w:pPr>
        <w:pStyle w:val="s15"/>
        <w:spacing w:before="0" w:beforeAutospacing="0" w:after="0" w:afterAutospacing="0"/>
        <w:jc w:val="both"/>
        <w:rPr>
          <w:rFonts w:ascii="Georgia" w:hAnsi="Georgia"/>
          <w:color w:val="BFBFBF" w:themeColor="background1" w:themeShade="BF"/>
          <w:lang w:val="fr-FR"/>
        </w:rPr>
      </w:pPr>
      <w:r w:rsidRPr="003A1357">
        <w:rPr>
          <w:rStyle w:val="s14"/>
          <w:rFonts w:ascii="Georgia" w:hAnsi="Georgia"/>
          <w:lang w:val="fr-FR"/>
        </w:rPr>
        <w:t>La prochaine actualisation de nos prévisions sera publiée en juin 2013.</w:t>
      </w:r>
      <w:r w:rsidR="0039539D" w:rsidRPr="003A1357">
        <w:rPr>
          <w:rFonts w:ascii="Georgia" w:hAnsi="Georgia" w:cs="Arial"/>
          <w:b/>
          <w:color w:val="BFBFBF" w:themeColor="background1" w:themeShade="BF"/>
          <w:lang w:val="fr-FR"/>
        </w:rPr>
        <w:br/>
      </w:r>
      <w:r w:rsidR="00FB028D" w:rsidRPr="003A1357">
        <w:rPr>
          <w:rFonts w:ascii="Georgia" w:hAnsi="Georgia" w:cs="Arial"/>
          <w:b/>
          <w:lang w:val="fr-FR"/>
        </w:rPr>
        <w:t>---------</w:t>
      </w:r>
    </w:p>
    <w:p w14:paraId="0DD9FDEC" w14:textId="6FB40FE9" w:rsidR="007E51D8" w:rsidRPr="008D473B" w:rsidRDefault="008D473B" w:rsidP="00E07520">
      <w:pPr>
        <w:pStyle w:val="Titre1"/>
        <w:rPr>
          <w:rFonts w:ascii="Georgia" w:hAnsi="Georgia"/>
          <w:u w:val="single"/>
          <w:lang w:val="fr-FR"/>
        </w:rPr>
      </w:pPr>
      <w:r>
        <w:rPr>
          <w:rFonts w:ascii="Georgia" w:hAnsi="Georgia"/>
          <w:u w:val="single"/>
          <w:lang w:val="fr-FR"/>
        </w:rPr>
        <w:t>A</w:t>
      </w:r>
      <w:r w:rsidR="00C255E8" w:rsidRPr="008D473B">
        <w:rPr>
          <w:rFonts w:ascii="Georgia" w:hAnsi="Georgia"/>
          <w:u w:val="single"/>
          <w:lang w:val="fr-FR"/>
        </w:rPr>
        <w:t xml:space="preserve"> propos de Magna Global</w:t>
      </w:r>
    </w:p>
    <w:p w14:paraId="0C490AAA" w14:textId="77777777" w:rsidR="00E07520" w:rsidRPr="00E07520" w:rsidRDefault="00E07520" w:rsidP="00E07520">
      <w:pPr>
        <w:rPr>
          <w:rFonts w:ascii="Georgia" w:hAnsi="Georgia"/>
          <w:lang w:val="fr-FR"/>
        </w:rPr>
      </w:pPr>
    </w:p>
    <w:p w14:paraId="3FBB41D9" w14:textId="19C120C4" w:rsidR="007E51D8" w:rsidRPr="00E07520" w:rsidRDefault="007E51D8" w:rsidP="007E51D8">
      <w:pPr>
        <w:spacing w:after="100" w:afterAutospacing="1"/>
        <w:rPr>
          <w:rFonts w:ascii="Georgia" w:hAnsi="Georgia" w:cs="Arial"/>
          <w:lang w:val="fr-FR"/>
        </w:rPr>
      </w:pPr>
      <w:r w:rsidRPr="00E07520">
        <w:rPr>
          <w:rFonts w:ascii="Georgia" w:hAnsi="Georgia" w:cs="Arial"/>
          <w:lang w:val="fr-FR"/>
        </w:rPr>
        <w:t xml:space="preserve">Magna Global est l’entité stratégique du groupe </w:t>
      </w:r>
      <w:r w:rsidR="00C255E8" w:rsidRPr="00E07520">
        <w:rPr>
          <w:rFonts w:ascii="Georgia" w:hAnsi="Georgia" w:cs="Arial"/>
          <w:lang w:val="fr-FR"/>
        </w:rPr>
        <w:t>IPG Mediabrands</w:t>
      </w:r>
      <w:r w:rsidRPr="00E07520">
        <w:rPr>
          <w:rFonts w:ascii="Georgia" w:hAnsi="Georgia" w:cs="Arial"/>
          <w:lang w:val="fr-FR"/>
        </w:rPr>
        <w:t xml:space="preserve">, diffusant une capacité de prévisions et de négociation portant sur l’ensemble des supports médias. La cellule de renseignement </w:t>
      </w:r>
      <w:r w:rsidR="00C255E8" w:rsidRPr="00E07520">
        <w:rPr>
          <w:rFonts w:ascii="Georgia" w:hAnsi="Georgia" w:cs="Arial"/>
          <w:lang w:val="fr-FR"/>
        </w:rPr>
        <w:t>Magna Global</w:t>
      </w:r>
      <w:r w:rsidRPr="00E07520">
        <w:rPr>
          <w:rFonts w:ascii="Georgia" w:hAnsi="Georgia" w:cs="Arial"/>
          <w:lang w:val="fr-FR"/>
        </w:rPr>
        <w:t xml:space="preserve"> Intelligence fait autorité sur la valeur et la conjoncture des médias au niveau mondial. L’unité d’investissements </w:t>
      </w:r>
      <w:r w:rsidR="00C255E8" w:rsidRPr="00E07520">
        <w:rPr>
          <w:rFonts w:ascii="Georgia" w:hAnsi="Georgia" w:cs="Arial"/>
          <w:lang w:val="fr-FR"/>
        </w:rPr>
        <w:t xml:space="preserve">Magna Global </w:t>
      </w:r>
      <w:proofErr w:type="spellStart"/>
      <w:r w:rsidR="00C255E8" w:rsidRPr="00E07520">
        <w:rPr>
          <w:rFonts w:ascii="Georgia" w:hAnsi="Georgia" w:cs="Arial"/>
          <w:lang w:val="fr-FR"/>
        </w:rPr>
        <w:t>Investment</w:t>
      </w:r>
      <w:proofErr w:type="spellEnd"/>
      <w:r w:rsidR="00C255E8" w:rsidRPr="00E07520">
        <w:rPr>
          <w:rFonts w:ascii="Georgia" w:hAnsi="Georgia" w:cs="Arial"/>
          <w:lang w:val="fr-FR"/>
        </w:rPr>
        <w:t xml:space="preserve"> gère 35</w:t>
      </w:r>
      <w:r w:rsidRPr="00E07520">
        <w:rPr>
          <w:rFonts w:ascii="Georgia" w:hAnsi="Georgia" w:cs="Arial"/>
          <w:lang w:val="fr-FR"/>
        </w:rPr>
        <w:t xml:space="preserve"> milliards de dollars de facturation mondiale. Pour en savoir plus, rendez-vous sur </w:t>
      </w:r>
      <w:hyperlink r:id="rId9" w:history="1">
        <w:r w:rsidRPr="00E07520">
          <w:rPr>
            <w:rStyle w:val="Lienhypertexte"/>
            <w:rFonts w:ascii="Georgia" w:hAnsi="Georgia" w:cs="Arial"/>
            <w:lang w:val="fr-FR"/>
          </w:rPr>
          <w:t>www.magnaglobal.com</w:t>
        </w:r>
      </w:hyperlink>
      <w:r w:rsidRPr="00E07520">
        <w:rPr>
          <w:rFonts w:ascii="Georgia" w:hAnsi="Georgia" w:cs="Arial"/>
          <w:lang w:val="fr-FR"/>
        </w:rPr>
        <w:t xml:space="preserve"> et suivez-nous sur </w:t>
      </w:r>
      <w:proofErr w:type="spellStart"/>
      <w:r w:rsidRPr="00E07520">
        <w:rPr>
          <w:rFonts w:ascii="Georgia" w:hAnsi="Georgia" w:cs="Arial"/>
          <w:lang w:val="fr-FR"/>
        </w:rPr>
        <w:t>Twitter</w:t>
      </w:r>
      <w:proofErr w:type="spellEnd"/>
      <w:r w:rsidRPr="00E07520">
        <w:rPr>
          <w:rFonts w:ascii="Georgia" w:hAnsi="Georgia" w:cs="Arial"/>
          <w:lang w:val="fr-FR"/>
        </w:rPr>
        <w:t xml:space="preserve"> : @MAGNAGLOBAL. Pour plus d’information : </w:t>
      </w:r>
      <w:hyperlink r:id="rId10" w:history="1">
        <w:r w:rsidRPr="00E07520">
          <w:rPr>
            <w:rStyle w:val="Lienhypertexte"/>
            <w:rFonts w:ascii="Georgia" w:hAnsi="Georgia" w:cs="Arial"/>
            <w:lang w:val="fr-FR"/>
          </w:rPr>
          <w:t>vincent.letang@magnaglobal.com</w:t>
        </w:r>
      </w:hyperlink>
      <w:r w:rsidRPr="00E07520">
        <w:rPr>
          <w:rFonts w:ascii="Georgia" w:hAnsi="Georgia" w:cs="Arial"/>
          <w:lang w:val="fr-FR"/>
        </w:rPr>
        <w:t>.</w:t>
      </w:r>
    </w:p>
    <w:p w14:paraId="535DBC8A" w14:textId="77777777" w:rsidR="00C255E8" w:rsidRPr="008D473B" w:rsidRDefault="00C255E8" w:rsidP="00E07520">
      <w:pPr>
        <w:pStyle w:val="Titre1"/>
        <w:rPr>
          <w:rFonts w:ascii="Georgia" w:hAnsi="Georgia"/>
          <w:u w:val="single"/>
          <w:lang w:val="fr-FR"/>
        </w:rPr>
      </w:pPr>
      <w:r w:rsidRPr="008D473B">
        <w:rPr>
          <w:rFonts w:ascii="Georgia" w:hAnsi="Georgia"/>
          <w:u w:val="single"/>
          <w:lang w:val="fr-FR"/>
        </w:rPr>
        <w:t>À propos d’IPG Mediabrands</w:t>
      </w:r>
    </w:p>
    <w:p w14:paraId="692AC365" w14:textId="77777777" w:rsidR="00E07520" w:rsidRPr="00E07520" w:rsidRDefault="00E07520" w:rsidP="00E07520">
      <w:pPr>
        <w:rPr>
          <w:rFonts w:ascii="Georgia" w:hAnsi="Georgia"/>
          <w:lang w:val="fr-FR"/>
        </w:rPr>
      </w:pPr>
    </w:p>
    <w:p w14:paraId="4E16CCC7" w14:textId="48DAE726" w:rsidR="00C255E8" w:rsidRPr="002736AE" w:rsidRDefault="008D473B" w:rsidP="00C255E8">
      <w:pPr>
        <w:autoSpaceDE w:val="0"/>
        <w:autoSpaceDN w:val="0"/>
        <w:spacing w:after="100" w:afterAutospacing="1"/>
        <w:rPr>
          <w:rFonts w:ascii="Georgia" w:hAnsi="Georgia" w:cs="Arial"/>
          <w:lang w:val="fr-FR"/>
        </w:rPr>
      </w:pPr>
      <w:r w:rsidRPr="00E07520">
        <w:rPr>
          <w:rFonts w:ascii="Georgia" w:hAnsi="Georgia" w:cs="Arial"/>
          <w:lang w:val="fr-FR"/>
        </w:rPr>
        <w:t>Fondé</w:t>
      </w:r>
      <w:r w:rsidR="00C255E8" w:rsidRPr="00E07520">
        <w:rPr>
          <w:rFonts w:ascii="Georgia" w:hAnsi="Georgia" w:cs="Arial"/>
          <w:lang w:val="fr-FR"/>
        </w:rPr>
        <w:t xml:space="preserve"> par </w:t>
      </w:r>
      <w:proofErr w:type="spellStart"/>
      <w:r w:rsidR="00C255E8" w:rsidRPr="00E07520">
        <w:rPr>
          <w:rFonts w:ascii="Georgia" w:hAnsi="Georgia" w:cs="Arial"/>
          <w:lang w:val="fr-FR"/>
        </w:rPr>
        <w:t>Interpublic</w:t>
      </w:r>
      <w:proofErr w:type="spellEnd"/>
      <w:r w:rsidR="00C255E8" w:rsidRPr="00E07520">
        <w:rPr>
          <w:rFonts w:ascii="Georgia" w:hAnsi="Georgia" w:cs="Arial"/>
          <w:lang w:val="fr-FR"/>
        </w:rPr>
        <w:t xml:space="preserve"> (IPG) dans le but de gérer l’ensemble de ses actifs liés aux médias du monde entier, IPG Mediabrands emploie 6 700 spécialistes de la communication et du marketing, évoluant dans 127 pays, et gère 35 milliards de dollars de facturation mondiale. Entité ayant prouvé son efficacité à aider les clients à maximiser l’impact de leur investissement marketing afin de parvenir à des résultats exceptionnels, IPG Mediabrands optimise l’offre et la performance en matière de communication à travers son réseau d’agences médias, comprenant UM, Initiative, BPN, ORION, ID Media, Media </w:t>
      </w:r>
      <w:proofErr w:type="spellStart"/>
      <w:r w:rsidR="00C255E8" w:rsidRPr="00E07520">
        <w:rPr>
          <w:rFonts w:ascii="Georgia" w:hAnsi="Georgia" w:cs="Arial"/>
          <w:lang w:val="fr-FR"/>
        </w:rPr>
        <w:t>Partnership</w:t>
      </w:r>
      <w:proofErr w:type="spellEnd"/>
      <w:r w:rsidR="00C255E8" w:rsidRPr="00E07520">
        <w:rPr>
          <w:rFonts w:ascii="Georgia" w:hAnsi="Georgia" w:cs="Arial"/>
          <w:lang w:val="fr-FR"/>
        </w:rPr>
        <w:t xml:space="preserve"> et un répertoire d’entités spécialisées dont Magna Global. IPG Mediabrands fait partie du groupe d'</w:t>
      </w:r>
      <w:proofErr w:type="spellStart"/>
      <w:r w:rsidR="00C255E8" w:rsidRPr="00E07520">
        <w:rPr>
          <w:rFonts w:ascii="Georgia" w:hAnsi="Georgia" w:cs="Arial"/>
          <w:lang w:val="fr-FR"/>
        </w:rPr>
        <w:t>Interpublic</w:t>
      </w:r>
      <w:proofErr w:type="spellEnd"/>
      <w:r w:rsidR="00C255E8" w:rsidRPr="00E07520">
        <w:rPr>
          <w:rFonts w:ascii="Georgia" w:hAnsi="Georgia" w:cs="Arial"/>
          <w:lang w:val="fr-FR"/>
        </w:rPr>
        <w:t xml:space="preserve"> (NYSE : IPG), l’une des leaders mondiaux d’agences de publicité et de services marketing. </w:t>
      </w:r>
      <w:r w:rsidR="00C255E8" w:rsidRPr="002736AE">
        <w:rPr>
          <w:rFonts w:ascii="Georgia" w:hAnsi="Georgia" w:cs="Arial"/>
          <w:lang w:val="fr-FR"/>
        </w:rPr>
        <w:t xml:space="preserve">Pour plus d’informations, rendez-vous sur </w:t>
      </w:r>
      <w:hyperlink r:id="rId11" w:history="1">
        <w:r w:rsidR="008E4C7F" w:rsidRPr="002736AE">
          <w:rPr>
            <w:rStyle w:val="Lienhypertexte"/>
            <w:rFonts w:ascii="Georgia" w:hAnsi="Georgia" w:cs="Arial"/>
            <w:lang w:val="fr-FR"/>
          </w:rPr>
          <w:t>www.ipgmediabrands.com</w:t>
        </w:r>
      </w:hyperlink>
      <w:r w:rsidR="00C255E8" w:rsidRPr="002736AE">
        <w:rPr>
          <w:rFonts w:ascii="Georgia" w:hAnsi="Georgia" w:cs="Arial"/>
          <w:lang w:val="fr-FR"/>
        </w:rPr>
        <w:t>.</w:t>
      </w:r>
    </w:p>
    <w:p w14:paraId="49072911" w14:textId="77777777" w:rsidR="00FC5C47" w:rsidRPr="002736AE" w:rsidRDefault="00FC5C47" w:rsidP="00C255E8">
      <w:pPr>
        <w:autoSpaceDE w:val="0"/>
        <w:autoSpaceDN w:val="0"/>
        <w:spacing w:after="100" w:afterAutospacing="1"/>
        <w:rPr>
          <w:rFonts w:ascii="Georgia" w:hAnsi="Georgia" w:cs="Arial"/>
          <w:lang w:val="fr-FR"/>
        </w:rPr>
      </w:pPr>
    </w:p>
    <w:p w14:paraId="6E23DBD7" w14:textId="77777777" w:rsidR="00FC5C47" w:rsidRPr="002736AE" w:rsidRDefault="00FC5C47" w:rsidP="00FC5C47">
      <w:pPr>
        <w:rPr>
          <w:rFonts w:ascii="Georgia" w:hAnsi="Georgia" w:cs="Arial"/>
          <w:b/>
          <w:lang w:val="fr-FR"/>
        </w:rPr>
      </w:pPr>
      <w:r w:rsidRPr="002736AE">
        <w:rPr>
          <w:rFonts w:ascii="Georgia" w:hAnsi="Georgia" w:cs="Arial"/>
          <w:b/>
          <w:lang w:val="fr-FR"/>
        </w:rPr>
        <w:br w:type="page"/>
      </w:r>
    </w:p>
    <w:p w14:paraId="70B5BBFE" w14:textId="77777777" w:rsidR="00FC5C47" w:rsidRPr="002736AE" w:rsidRDefault="00FC5C47" w:rsidP="00FC5C47">
      <w:pPr>
        <w:jc w:val="both"/>
        <w:rPr>
          <w:rFonts w:ascii="Georgia" w:hAnsi="Georgia" w:cs="Arial"/>
          <w:b/>
          <w:lang w:val="fr-FR"/>
        </w:rPr>
      </w:pPr>
    </w:p>
    <w:p w14:paraId="06F9E6E7" w14:textId="77777777" w:rsidR="00FC5C47" w:rsidRPr="002736AE" w:rsidRDefault="00FC5C47" w:rsidP="00FC5C47">
      <w:pPr>
        <w:jc w:val="both"/>
        <w:rPr>
          <w:rFonts w:ascii="Georgia" w:hAnsi="Georgia" w:cs="Arial"/>
          <w:b/>
          <w:lang w:val="fr-FR"/>
        </w:rPr>
      </w:pPr>
    </w:p>
    <w:p w14:paraId="3C1BE77D" w14:textId="6BB47033" w:rsidR="00FC5C47" w:rsidRPr="002736AE" w:rsidRDefault="00FC5C47" w:rsidP="00FC5C47">
      <w:pPr>
        <w:jc w:val="both"/>
        <w:rPr>
          <w:rFonts w:ascii="Georgia" w:hAnsi="Georgia" w:cs="Arial"/>
          <w:b/>
          <w:lang w:val="fr-FR"/>
        </w:rPr>
      </w:pPr>
      <w:r w:rsidRPr="002736AE">
        <w:rPr>
          <w:rFonts w:ascii="Georgia" w:hAnsi="Georgia" w:cs="Arial"/>
          <w:b/>
          <w:lang w:val="fr-FR"/>
        </w:rPr>
        <w:t xml:space="preserve">Figure 1: </w:t>
      </w:r>
      <w:r w:rsidR="0025715D" w:rsidRPr="002736AE">
        <w:rPr>
          <w:rFonts w:ascii="Georgia" w:hAnsi="Georgia" w:cs="Arial"/>
          <w:b/>
          <w:lang w:val="fr-FR"/>
        </w:rPr>
        <w:t>Investissements publicitaires mondiaux</w:t>
      </w:r>
    </w:p>
    <w:p w14:paraId="158C6966" w14:textId="77777777" w:rsidR="00FC5C47" w:rsidRPr="00D37949" w:rsidRDefault="00FC5C47" w:rsidP="00FC5C47">
      <w:pPr>
        <w:jc w:val="both"/>
        <w:rPr>
          <w:rFonts w:ascii="Georgia" w:hAnsi="Georgia" w:cs="Arial"/>
          <w:b/>
        </w:rPr>
      </w:pPr>
      <w:r>
        <w:rPr>
          <w:rFonts w:ascii="Georgia" w:hAnsi="Georgia" w:cs="Arial"/>
          <w:b/>
          <w:noProof/>
          <w:lang w:val="fr-FR" w:eastAsia="fr-FR"/>
        </w:rPr>
        <w:drawing>
          <wp:inline distT="0" distB="0" distL="0" distR="0" wp14:anchorId="35C085A2" wp14:editId="35D36840">
            <wp:extent cx="5715000" cy="314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145536"/>
                    </a:xfrm>
                    <a:prstGeom prst="rect">
                      <a:avLst/>
                    </a:prstGeom>
                    <a:noFill/>
                  </pic:spPr>
                </pic:pic>
              </a:graphicData>
            </a:graphic>
          </wp:inline>
        </w:drawing>
      </w:r>
    </w:p>
    <w:p w14:paraId="46B4305E" w14:textId="77777777" w:rsidR="00FC5C47" w:rsidRDefault="00FC5C47" w:rsidP="00FC5C47">
      <w:pPr>
        <w:jc w:val="both"/>
        <w:rPr>
          <w:rFonts w:ascii="Georgia" w:hAnsi="Georgia" w:cs="Arial"/>
          <w:b/>
        </w:rPr>
      </w:pPr>
    </w:p>
    <w:p w14:paraId="09B0567A" w14:textId="77777777" w:rsidR="00FC5C47" w:rsidRDefault="00FC5C47" w:rsidP="00FC5C47">
      <w:pPr>
        <w:jc w:val="both"/>
        <w:rPr>
          <w:rFonts w:ascii="Georgia" w:hAnsi="Georgia" w:cs="Arial"/>
          <w:b/>
        </w:rPr>
      </w:pPr>
    </w:p>
    <w:p w14:paraId="4CF22F02" w14:textId="0D6AA491" w:rsidR="00FC5C47" w:rsidRPr="0025715D" w:rsidRDefault="00FC5C47" w:rsidP="00FC5C47">
      <w:pPr>
        <w:jc w:val="both"/>
        <w:rPr>
          <w:rFonts w:ascii="Georgia" w:hAnsi="Georgia" w:cs="Arial"/>
          <w:b/>
          <w:lang w:val="fr-FR"/>
        </w:rPr>
      </w:pPr>
      <w:r w:rsidRPr="0025715D">
        <w:rPr>
          <w:rFonts w:ascii="Georgia" w:hAnsi="Georgia" w:cs="Arial"/>
          <w:b/>
          <w:lang w:val="fr-FR"/>
        </w:rPr>
        <w:t xml:space="preserve">Figure 2: </w:t>
      </w:r>
      <w:r w:rsidR="0025715D" w:rsidRPr="0025715D">
        <w:rPr>
          <w:rFonts w:ascii="Georgia" w:hAnsi="Georgia" w:cs="Arial"/>
          <w:b/>
          <w:lang w:val="fr-FR"/>
        </w:rPr>
        <w:t>Investissements publicitaires mondiaux, par média</w:t>
      </w:r>
    </w:p>
    <w:p w14:paraId="02022B69" w14:textId="77777777" w:rsidR="00FC5C47" w:rsidRPr="00D37949" w:rsidRDefault="00FC5C47" w:rsidP="00FC5C47">
      <w:pPr>
        <w:jc w:val="both"/>
        <w:rPr>
          <w:rFonts w:ascii="Georgia" w:hAnsi="Georgia" w:cs="Arial"/>
          <w:b/>
        </w:rPr>
      </w:pPr>
      <w:r>
        <w:rPr>
          <w:rFonts w:ascii="Georgia" w:hAnsi="Georgia" w:cs="Arial"/>
          <w:b/>
          <w:noProof/>
          <w:lang w:val="fr-FR" w:eastAsia="fr-FR"/>
        </w:rPr>
        <w:drawing>
          <wp:inline distT="0" distB="0" distL="0" distR="0" wp14:anchorId="0A533545" wp14:editId="352F5FA0">
            <wp:extent cx="6339840" cy="36195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9840" cy="3619500"/>
                    </a:xfrm>
                    <a:prstGeom prst="rect">
                      <a:avLst/>
                    </a:prstGeom>
                    <a:noFill/>
                  </pic:spPr>
                </pic:pic>
              </a:graphicData>
            </a:graphic>
          </wp:inline>
        </w:drawing>
      </w:r>
    </w:p>
    <w:p w14:paraId="2847F9CB" w14:textId="77777777" w:rsidR="00FC5C47" w:rsidRDefault="00FC5C47" w:rsidP="00FC5C47">
      <w:pPr>
        <w:jc w:val="both"/>
        <w:rPr>
          <w:rFonts w:ascii="Georgia" w:hAnsi="Georgia" w:cs="Arial"/>
          <w:b/>
        </w:rPr>
      </w:pPr>
    </w:p>
    <w:p w14:paraId="6C469F63" w14:textId="77777777" w:rsidR="00FC5C47" w:rsidRDefault="00FC5C47" w:rsidP="00FC5C47">
      <w:pPr>
        <w:jc w:val="both"/>
        <w:rPr>
          <w:rFonts w:ascii="Georgia" w:hAnsi="Georgia" w:cs="Arial"/>
          <w:b/>
        </w:rPr>
      </w:pPr>
      <w:r>
        <w:rPr>
          <w:rFonts w:ascii="Georgia" w:hAnsi="Georgia" w:cs="Arial"/>
          <w:b/>
        </w:rPr>
        <w:lastRenderedPageBreak/>
        <w:br/>
      </w:r>
    </w:p>
    <w:p w14:paraId="6C5D841C" w14:textId="326D6D82" w:rsidR="00FC5C47" w:rsidRDefault="00FC5C47" w:rsidP="00FC5C47">
      <w:pPr>
        <w:rPr>
          <w:rFonts w:ascii="Georgia" w:hAnsi="Georgia" w:cs="Arial"/>
          <w:b/>
        </w:rPr>
      </w:pPr>
      <w:r>
        <w:rPr>
          <w:rFonts w:ascii="Georgia" w:hAnsi="Georgia" w:cs="Arial"/>
          <w:b/>
        </w:rPr>
        <w:t>Figure 3</w:t>
      </w:r>
      <w:r w:rsidRPr="00D37949">
        <w:rPr>
          <w:rFonts w:ascii="Georgia" w:hAnsi="Georgia" w:cs="Arial"/>
          <w:b/>
        </w:rPr>
        <w:t>:</w:t>
      </w:r>
      <w:r>
        <w:rPr>
          <w:rFonts w:ascii="Georgia" w:hAnsi="Georgia" w:cs="Arial"/>
          <w:b/>
        </w:rPr>
        <w:t xml:space="preserve"> Top 10 (2012-2017)</w:t>
      </w:r>
    </w:p>
    <w:p w14:paraId="5AA21CC8" w14:textId="77777777" w:rsidR="00FC5C47" w:rsidRPr="00D37949" w:rsidRDefault="00FC5C47" w:rsidP="00FC5C47">
      <w:pPr>
        <w:jc w:val="both"/>
        <w:rPr>
          <w:rFonts w:ascii="Georgia" w:hAnsi="Georgia" w:cs="Arial"/>
          <w:b/>
        </w:rPr>
      </w:pPr>
    </w:p>
    <w:tbl>
      <w:tblPr>
        <w:tblW w:w="8740" w:type="dxa"/>
        <w:tblCellMar>
          <w:left w:w="0" w:type="dxa"/>
          <w:right w:w="0" w:type="dxa"/>
        </w:tblCellMar>
        <w:tblLook w:val="04A0" w:firstRow="1" w:lastRow="0" w:firstColumn="1" w:lastColumn="0" w:noHBand="0" w:noVBand="1"/>
      </w:tblPr>
      <w:tblGrid>
        <w:gridCol w:w="900"/>
        <w:gridCol w:w="1880"/>
        <w:gridCol w:w="1040"/>
        <w:gridCol w:w="1480"/>
        <w:gridCol w:w="880"/>
        <w:gridCol w:w="1480"/>
        <w:gridCol w:w="1080"/>
      </w:tblGrid>
      <w:tr w:rsidR="00FC5C47" w:rsidRPr="009A1DF5" w14:paraId="5262ADAD" w14:textId="77777777" w:rsidTr="007C45BE">
        <w:trPr>
          <w:trHeight w:val="440"/>
        </w:trPr>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1837132E"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Rank</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13E77C1E"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2012</w:t>
            </w:r>
          </w:p>
        </w:tc>
        <w:tc>
          <w:tcPr>
            <w:tcW w:w="10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32914B6A"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w:t>
            </w:r>
            <w:proofErr w:type="spellStart"/>
            <w:r w:rsidRPr="009A1DF5">
              <w:rPr>
                <w:rFonts w:ascii="Georgia" w:eastAsia="Times New Roman" w:hAnsi="Georgia" w:cs="Arial"/>
                <w:b/>
                <w:bCs/>
                <w:color w:val="FFFFFF" w:themeColor="light1"/>
                <w:kern w:val="24"/>
                <w:sz w:val="20"/>
                <w:szCs w:val="20"/>
              </w:rPr>
              <w:t>bn</w:t>
            </w:r>
            <w:proofErr w:type="spellEnd"/>
          </w:p>
        </w:tc>
        <w:tc>
          <w:tcPr>
            <w:tcW w:w="14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0B06E40C"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2013</w:t>
            </w:r>
          </w:p>
        </w:tc>
        <w:tc>
          <w:tcPr>
            <w:tcW w:w="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22675F3A"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w:t>
            </w:r>
            <w:proofErr w:type="spellStart"/>
            <w:r w:rsidRPr="009A1DF5">
              <w:rPr>
                <w:rFonts w:ascii="Georgia" w:eastAsia="Times New Roman" w:hAnsi="Georgia" w:cs="Arial"/>
                <w:b/>
                <w:bCs/>
                <w:color w:val="FFFFFF" w:themeColor="light1"/>
                <w:kern w:val="24"/>
                <w:sz w:val="20"/>
                <w:szCs w:val="20"/>
              </w:rPr>
              <w:t>bn</w:t>
            </w:r>
            <w:proofErr w:type="spellEnd"/>
          </w:p>
        </w:tc>
        <w:tc>
          <w:tcPr>
            <w:tcW w:w="14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72BCF6C1"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2017</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4" w:type="dxa"/>
              <w:bottom w:w="0" w:type="dxa"/>
              <w:right w:w="144" w:type="dxa"/>
            </w:tcMar>
            <w:vAlign w:val="center"/>
            <w:hideMark/>
          </w:tcPr>
          <w:p w14:paraId="56533D47"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20"/>
                <w:szCs w:val="20"/>
              </w:rPr>
              <w:t>$</w:t>
            </w:r>
            <w:proofErr w:type="spellStart"/>
            <w:r w:rsidRPr="009A1DF5">
              <w:rPr>
                <w:rFonts w:ascii="Georgia" w:eastAsia="Times New Roman" w:hAnsi="Georgia" w:cs="Arial"/>
                <w:b/>
                <w:bCs/>
                <w:color w:val="FFFFFF" w:themeColor="light1"/>
                <w:kern w:val="24"/>
                <w:sz w:val="20"/>
                <w:szCs w:val="20"/>
              </w:rPr>
              <w:t>bn</w:t>
            </w:r>
            <w:proofErr w:type="spellEnd"/>
          </w:p>
        </w:tc>
      </w:tr>
      <w:tr w:rsidR="00FC5C47" w:rsidRPr="009A1DF5" w14:paraId="791CA14D" w14:textId="77777777" w:rsidTr="007C45BE">
        <w:trPr>
          <w:trHeight w:val="288"/>
        </w:trPr>
        <w:tc>
          <w:tcPr>
            <w:tcW w:w="9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2EAD9A5E"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1</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5507DDCA"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United States</w:t>
            </w:r>
          </w:p>
        </w:tc>
        <w:tc>
          <w:tcPr>
            <w:tcW w:w="10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29D47FD3"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152.3 </w:t>
            </w:r>
          </w:p>
        </w:tc>
        <w:tc>
          <w:tcPr>
            <w:tcW w:w="14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58389BA4"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United States</w:t>
            </w:r>
          </w:p>
        </w:tc>
        <w:tc>
          <w:tcPr>
            <w:tcW w:w="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0EB7C231"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153.2 </w:t>
            </w:r>
          </w:p>
        </w:tc>
        <w:tc>
          <w:tcPr>
            <w:tcW w:w="14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3AA17C96"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United States</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60355577"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179.9 </w:t>
            </w:r>
          </w:p>
        </w:tc>
      </w:tr>
      <w:tr w:rsidR="00FC5C47" w:rsidRPr="009A1DF5" w14:paraId="678ABF72"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5A64F677"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2</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E5017DB"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Japan</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1B02A97"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51.2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2E5EAA6A"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Japan</w:t>
            </w: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00BC69E5"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51.3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5737314F"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China</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7B6B8999"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66.3 </w:t>
            </w:r>
          </w:p>
        </w:tc>
      </w:tr>
      <w:tr w:rsidR="00FC5C47" w:rsidRPr="009A1DF5" w14:paraId="159CCA6F"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50DF64D6"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3</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252C3937"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China</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2C9BB3CC"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38.0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6C4D5127"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China</w:t>
            </w:r>
          </w:p>
        </w:tc>
        <w:tc>
          <w:tcPr>
            <w:tcW w:w="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6D2F4046"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41.6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48C1A80D"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Japan</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4858E6D8"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55.1 </w:t>
            </w:r>
          </w:p>
        </w:tc>
      </w:tr>
      <w:tr w:rsidR="00FC5C47" w:rsidRPr="009A1DF5" w14:paraId="0B6282FE"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3B0EAF42"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4</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3D6653E3"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Germany</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9AD0E4C"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25.1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F0A437E"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Germany</w:t>
            </w: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7CBEFFE"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25.3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5C2DE75"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Brazil</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FDCF9A8"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35.1 </w:t>
            </w:r>
          </w:p>
        </w:tc>
      </w:tr>
      <w:tr w:rsidR="00FC5C47" w:rsidRPr="009A1DF5" w14:paraId="61A4340D"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5D47FF8C"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5</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2E237D52"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Brazil</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228B7600"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20.5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5B3AB537"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Brazil</w:t>
            </w:r>
          </w:p>
        </w:tc>
        <w:tc>
          <w:tcPr>
            <w:tcW w:w="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7646E94D"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22.6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19712583"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Germany</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24B8D3DB"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27.1 </w:t>
            </w:r>
          </w:p>
        </w:tc>
      </w:tr>
      <w:tr w:rsidR="00FC5C47" w:rsidRPr="009A1DF5" w14:paraId="70671A73"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736DB91A"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6</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5363073E"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UK</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919A57A"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20.2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07EDE588"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UK</w:t>
            </w: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4C8B4C53"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20.6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6FBF5A7"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UK</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5B0BD7EA"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23.1 </w:t>
            </w:r>
          </w:p>
        </w:tc>
      </w:tr>
      <w:tr w:rsidR="00FC5C47" w:rsidRPr="009A1DF5" w14:paraId="02180454"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3E6EA3F1"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7</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35941943"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France</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0D99E879"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14.5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64782838"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France</w:t>
            </w:r>
          </w:p>
        </w:tc>
        <w:tc>
          <w:tcPr>
            <w:tcW w:w="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70ABEA5F"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14.4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0E4B2C49"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Russia</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74EEA40A"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15.6 </w:t>
            </w:r>
          </w:p>
        </w:tc>
      </w:tr>
      <w:tr w:rsidR="00FC5C47" w:rsidRPr="009A1DF5" w14:paraId="47423CC9"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6E6AC52F"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8</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111B7E89"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Canada</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6D20BE2"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12.7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231ECD32"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Canada</w:t>
            </w: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FB2C6CF"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13.5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3881F6A0"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Australia</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CDF22AD"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15.4 </w:t>
            </w:r>
          </w:p>
        </w:tc>
      </w:tr>
      <w:tr w:rsidR="00FC5C47" w:rsidRPr="009A1DF5" w14:paraId="043AA284"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5322C143"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9</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775D03CC"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Australia</w:t>
            </w:r>
          </w:p>
        </w:tc>
        <w:tc>
          <w:tcPr>
            <w:tcW w:w="10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4667AEDB"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12.7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12ABEA3E"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Australia</w:t>
            </w:r>
          </w:p>
        </w:tc>
        <w:tc>
          <w:tcPr>
            <w:tcW w:w="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68460877"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12.8 </w:t>
            </w: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61BFA30E"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France</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4" w:type="dxa"/>
              <w:bottom w:w="0" w:type="dxa"/>
              <w:right w:w="144" w:type="dxa"/>
            </w:tcMar>
            <w:vAlign w:val="center"/>
            <w:hideMark/>
          </w:tcPr>
          <w:p w14:paraId="0FDF4A86"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15.3 </w:t>
            </w:r>
          </w:p>
        </w:tc>
      </w:tr>
      <w:tr w:rsidR="00FC5C47" w:rsidRPr="009A1DF5" w14:paraId="6165F85A" w14:textId="77777777" w:rsidTr="007C45BE">
        <w:trPr>
          <w:trHeight w:val="288"/>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4" w:type="dxa"/>
              <w:bottom w:w="0" w:type="dxa"/>
              <w:right w:w="144" w:type="dxa"/>
            </w:tcMar>
            <w:vAlign w:val="center"/>
            <w:hideMark/>
          </w:tcPr>
          <w:p w14:paraId="58795F65"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b/>
                <w:bCs/>
                <w:color w:val="FFFFFF" w:themeColor="light1"/>
                <w:kern w:val="24"/>
                <w:sz w:val="18"/>
                <w:szCs w:val="18"/>
              </w:rPr>
              <w:t>10</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434D7D6F"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Russia</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0ED1D9B4"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10.0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239981B8"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Russia</w:t>
            </w: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53123394"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11.0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7C519665" w14:textId="77777777" w:rsidR="00FC5C47" w:rsidRPr="009A1DF5" w:rsidRDefault="00FC5C47" w:rsidP="007C45BE">
            <w:pPr>
              <w:textAlignment w:val="bottom"/>
              <w:rPr>
                <w:rFonts w:ascii="Arial" w:eastAsia="Times New Roman" w:hAnsi="Arial" w:cs="Arial"/>
                <w:sz w:val="36"/>
                <w:szCs w:val="36"/>
              </w:rPr>
            </w:pPr>
            <w:r w:rsidRPr="009A1DF5">
              <w:rPr>
                <w:rFonts w:ascii="Georgia" w:eastAsia="Times New Roman" w:hAnsi="Georgia" w:cs="Arial"/>
                <w:b/>
                <w:bCs/>
                <w:color w:val="FF0000"/>
                <w:kern w:val="24"/>
                <w:sz w:val="18"/>
                <w:szCs w:val="18"/>
              </w:rPr>
              <w:t>India</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44" w:type="dxa"/>
              <w:bottom w:w="0" w:type="dxa"/>
              <w:right w:w="144" w:type="dxa"/>
            </w:tcMar>
            <w:vAlign w:val="center"/>
            <w:hideMark/>
          </w:tcPr>
          <w:p w14:paraId="61039487" w14:textId="77777777" w:rsidR="00FC5C47" w:rsidRPr="009A1DF5" w:rsidRDefault="00FC5C47" w:rsidP="007C45BE">
            <w:pPr>
              <w:jc w:val="center"/>
              <w:textAlignment w:val="bottom"/>
              <w:rPr>
                <w:rFonts w:ascii="Arial" w:eastAsia="Times New Roman" w:hAnsi="Arial" w:cs="Arial"/>
                <w:sz w:val="36"/>
                <w:szCs w:val="36"/>
              </w:rPr>
            </w:pPr>
            <w:r w:rsidRPr="009A1DF5">
              <w:rPr>
                <w:rFonts w:ascii="Georgia" w:eastAsia="Times New Roman" w:hAnsi="Georgia" w:cs="Arial"/>
                <w:color w:val="000000" w:themeColor="dark1"/>
                <w:kern w:val="24"/>
                <w:sz w:val="18"/>
                <w:szCs w:val="18"/>
              </w:rPr>
              <w:t xml:space="preserve">15.2 </w:t>
            </w:r>
          </w:p>
        </w:tc>
      </w:tr>
    </w:tbl>
    <w:p w14:paraId="1FF57175" w14:textId="77777777" w:rsidR="00FC5C47" w:rsidRDefault="00FC5C47" w:rsidP="00FC5C47">
      <w:pPr>
        <w:jc w:val="both"/>
        <w:rPr>
          <w:rFonts w:ascii="Georgia" w:hAnsi="Georgia" w:cs="Arial"/>
        </w:rPr>
      </w:pPr>
    </w:p>
    <w:p w14:paraId="260E6A66" w14:textId="77777777" w:rsidR="00FC5C47" w:rsidRDefault="00FC5C47" w:rsidP="00FC5C47">
      <w:pPr>
        <w:jc w:val="both"/>
        <w:rPr>
          <w:rFonts w:ascii="Georgia" w:hAnsi="Georgia" w:cs="Arial"/>
        </w:rPr>
      </w:pPr>
    </w:p>
    <w:p w14:paraId="12149D2E" w14:textId="77777777" w:rsidR="00FC5C47" w:rsidRDefault="00FC5C47" w:rsidP="00FC5C47">
      <w:pPr>
        <w:jc w:val="both"/>
        <w:rPr>
          <w:rFonts w:ascii="Georgia" w:hAnsi="Georgia" w:cs="Arial"/>
        </w:rPr>
      </w:pPr>
    </w:p>
    <w:p w14:paraId="3BDEA42F" w14:textId="429A3EF1" w:rsidR="00FC5C47" w:rsidRPr="00D37949" w:rsidRDefault="00FC5C47" w:rsidP="00FC5C47">
      <w:pPr>
        <w:jc w:val="both"/>
        <w:rPr>
          <w:rFonts w:ascii="Georgia" w:hAnsi="Georgia" w:cs="Arial"/>
          <w:b/>
        </w:rPr>
      </w:pPr>
      <w:r>
        <w:rPr>
          <w:rFonts w:ascii="Georgia" w:hAnsi="Georgia" w:cs="Arial"/>
          <w:b/>
        </w:rPr>
        <w:t>Figure 4</w:t>
      </w:r>
      <w:r w:rsidRPr="00D37949">
        <w:rPr>
          <w:rFonts w:ascii="Georgia" w:hAnsi="Georgia" w:cs="Arial"/>
          <w:b/>
        </w:rPr>
        <w:t>:</w:t>
      </w:r>
      <w:r>
        <w:rPr>
          <w:rFonts w:ascii="Georgia" w:hAnsi="Georgia" w:cs="Arial"/>
          <w:b/>
        </w:rPr>
        <w:t xml:space="preserve"> </w:t>
      </w:r>
      <w:proofErr w:type="spellStart"/>
      <w:r>
        <w:rPr>
          <w:rFonts w:ascii="Georgia" w:hAnsi="Georgia" w:cs="Arial"/>
          <w:b/>
        </w:rPr>
        <w:t>Ré</w:t>
      </w:r>
      <w:r w:rsidRPr="00D37949">
        <w:rPr>
          <w:rFonts w:ascii="Georgia" w:hAnsi="Georgia" w:cs="Arial"/>
          <w:b/>
        </w:rPr>
        <w:t>v</w:t>
      </w:r>
      <w:bookmarkStart w:id="0" w:name="_GoBack"/>
      <w:bookmarkEnd w:id="0"/>
      <w:r w:rsidRPr="00D37949">
        <w:rPr>
          <w:rFonts w:ascii="Georgia" w:hAnsi="Georgia" w:cs="Arial"/>
          <w:b/>
        </w:rPr>
        <w:t>isions</w:t>
      </w:r>
      <w:proofErr w:type="spellEnd"/>
    </w:p>
    <w:p w14:paraId="674D7AEF" w14:textId="77777777" w:rsidR="00FC5C47" w:rsidRDefault="00FC5C47" w:rsidP="00FC5C47">
      <w:pPr>
        <w:jc w:val="both"/>
        <w:rPr>
          <w:rFonts w:ascii="Georgia" w:hAnsi="Georgia" w:cs="Arial"/>
        </w:rPr>
      </w:pPr>
    </w:p>
    <w:tbl>
      <w:tblPr>
        <w:tblW w:w="7200" w:type="dxa"/>
        <w:tblInd w:w="108" w:type="dxa"/>
        <w:tblLook w:val="04A0" w:firstRow="1" w:lastRow="0" w:firstColumn="1" w:lastColumn="0" w:noHBand="0" w:noVBand="1"/>
      </w:tblPr>
      <w:tblGrid>
        <w:gridCol w:w="3060"/>
        <w:gridCol w:w="2070"/>
        <w:gridCol w:w="2070"/>
      </w:tblGrid>
      <w:tr w:rsidR="00FC5C47" w:rsidRPr="0025715D" w14:paraId="5770E2B3" w14:textId="77777777" w:rsidTr="007C45BE">
        <w:trPr>
          <w:trHeight w:val="675"/>
        </w:trPr>
        <w:tc>
          <w:tcPr>
            <w:tcW w:w="3060" w:type="dxa"/>
            <w:shd w:val="pct10" w:color="auto" w:fill="auto"/>
            <w:vAlign w:val="center"/>
            <w:hideMark/>
          </w:tcPr>
          <w:p w14:paraId="6E64740C" w14:textId="77777777" w:rsidR="0025715D" w:rsidRDefault="0025715D" w:rsidP="007C45BE">
            <w:pPr>
              <w:rPr>
                <w:rFonts w:ascii="Georgia" w:eastAsia="Times New Roman" w:hAnsi="Georgia" w:cs="Arial"/>
                <w:b/>
                <w:sz w:val="20"/>
                <w:szCs w:val="18"/>
              </w:rPr>
            </w:pPr>
            <w:proofErr w:type="spellStart"/>
            <w:r>
              <w:rPr>
                <w:rFonts w:ascii="Georgia" w:eastAsia="Times New Roman" w:hAnsi="Georgia" w:cs="Arial"/>
                <w:b/>
                <w:sz w:val="20"/>
                <w:szCs w:val="18"/>
              </w:rPr>
              <w:t>Revenus</w:t>
            </w:r>
            <w:proofErr w:type="spellEnd"/>
            <w:r>
              <w:rPr>
                <w:rFonts w:ascii="Georgia" w:eastAsia="Times New Roman" w:hAnsi="Georgia" w:cs="Arial"/>
                <w:b/>
                <w:sz w:val="20"/>
                <w:szCs w:val="18"/>
              </w:rPr>
              <w:t xml:space="preserve"> </w:t>
            </w:r>
            <w:proofErr w:type="spellStart"/>
            <w:r>
              <w:rPr>
                <w:rFonts w:ascii="Georgia" w:eastAsia="Times New Roman" w:hAnsi="Georgia" w:cs="Arial"/>
                <w:b/>
                <w:sz w:val="20"/>
                <w:szCs w:val="18"/>
              </w:rPr>
              <w:t>publicitaire</w:t>
            </w:r>
            <w:proofErr w:type="spellEnd"/>
            <w:r w:rsidR="00FC5C47">
              <w:rPr>
                <w:rFonts w:ascii="Georgia" w:eastAsia="Times New Roman" w:hAnsi="Georgia" w:cs="Arial"/>
                <w:b/>
                <w:sz w:val="20"/>
                <w:szCs w:val="18"/>
              </w:rPr>
              <w:t xml:space="preserve"> </w:t>
            </w:r>
          </w:p>
          <w:p w14:paraId="22721731" w14:textId="04369719" w:rsidR="00FC5C47" w:rsidRPr="00D37949" w:rsidRDefault="00FC5C47" w:rsidP="007C45BE">
            <w:pPr>
              <w:rPr>
                <w:rFonts w:ascii="Georgia" w:eastAsia="Times New Roman" w:hAnsi="Georgia" w:cs="Arial"/>
                <w:b/>
                <w:sz w:val="20"/>
                <w:szCs w:val="18"/>
              </w:rPr>
            </w:pPr>
            <w:r>
              <w:rPr>
                <w:rFonts w:ascii="Georgia" w:eastAsia="Times New Roman" w:hAnsi="Georgia" w:cs="Arial"/>
                <w:b/>
                <w:sz w:val="20"/>
                <w:szCs w:val="18"/>
              </w:rPr>
              <w:t>(</w:t>
            </w:r>
            <w:proofErr w:type="spellStart"/>
            <w:r w:rsidR="0025715D">
              <w:rPr>
                <w:rFonts w:ascii="Georgia" w:eastAsia="Times New Roman" w:hAnsi="Georgia" w:cs="Arial"/>
                <w:b/>
                <w:sz w:val="20"/>
                <w:szCs w:val="18"/>
              </w:rPr>
              <w:t>croissance</w:t>
            </w:r>
            <w:proofErr w:type="spellEnd"/>
            <w:r w:rsidR="0025715D">
              <w:rPr>
                <w:rFonts w:ascii="Georgia" w:eastAsia="Times New Roman" w:hAnsi="Georgia" w:cs="Arial"/>
                <w:b/>
                <w:sz w:val="20"/>
                <w:szCs w:val="18"/>
              </w:rPr>
              <w:t xml:space="preserve"> </w:t>
            </w:r>
            <w:r>
              <w:rPr>
                <w:rFonts w:ascii="Georgia" w:eastAsia="Times New Roman" w:hAnsi="Georgia" w:cs="Arial"/>
                <w:b/>
                <w:sz w:val="20"/>
                <w:szCs w:val="18"/>
              </w:rPr>
              <w:t xml:space="preserve">2013 </w:t>
            </w:r>
            <w:r w:rsidRPr="00D37949">
              <w:rPr>
                <w:rFonts w:ascii="Georgia" w:eastAsia="Times New Roman" w:hAnsi="Georgia" w:cs="Arial"/>
                <w:b/>
                <w:sz w:val="20"/>
                <w:szCs w:val="18"/>
              </w:rPr>
              <w:t>v.</w:t>
            </w:r>
            <w:r>
              <w:rPr>
                <w:rFonts w:ascii="Georgia" w:eastAsia="Times New Roman" w:hAnsi="Georgia" w:cs="Arial"/>
                <w:b/>
                <w:sz w:val="20"/>
                <w:szCs w:val="18"/>
              </w:rPr>
              <w:t xml:space="preserve"> 2012</w:t>
            </w:r>
            <w:r w:rsidRPr="00D37949">
              <w:rPr>
                <w:rFonts w:ascii="Georgia" w:eastAsia="Times New Roman" w:hAnsi="Georgia" w:cs="Arial"/>
                <w:b/>
                <w:sz w:val="20"/>
                <w:szCs w:val="18"/>
              </w:rPr>
              <w:t>)</w:t>
            </w:r>
          </w:p>
        </w:tc>
        <w:tc>
          <w:tcPr>
            <w:tcW w:w="2070" w:type="dxa"/>
            <w:shd w:val="pct10" w:color="auto" w:fill="auto"/>
            <w:vAlign w:val="center"/>
            <w:hideMark/>
          </w:tcPr>
          <w:p w14:paraId="0DF069A7" w14:textId="7ED00D8E" w:rsidR="00FC5C47" w:rsidRPr="0025715D" w:rsidRDefault="00FC5C47" w:rsidP="0025715D">
            <w:pPr>
              <w:jc w:val="center"/>
              <w:rPr>
                <w:rFonts w:ascii="Georgia" w:eastAsia="Times New Roman" w:hAnsi="Georgia" w:cs="Arial"/>
                <w:b/>
                <w:i/>
                <w:sz w:val="20"/>
                <w:szCs w:val="18"/>
              </w:rPr>
            </w:pPr>
            <w:proofErr w:type="spellStart"/>
            <w:r w:rsidRPr="0025715D">
              <w:rPr>
                <w:rFonts w:ascii="Georgia" w:eastAsia="Times New Roman" w:hAnsi="Georgia" w:cs="Arial"/>
                <w:b/>
                <w:i/>
                <w:sz w:val="20"/>
                <w:szCs w:val="18"/>
              </w:rPr>
              <w:t>Juin</w:t>
            </w:r>
            <w:proofErr w:type="spellEnd"/>
            <w:r w:rsidRPr="0025715D">
              <w:rPr>
                <w:rFonts w:ascii="Georgia" w:eastAsia="Times New Roman" w:hAnsi="Georgia" w:cs="Arial"/>
                <w:b/>
                <w:i/>
                <w:sz w:val="20"/>
                <w:szCs w:val="18"/>
              </w:rPr>
              <w:t xml:space="preserve"> 2012</w:t>
            </w:r>
          </w:p>
        </w:tc>
        <w:tc>
          <w:tcPr>
            <w:tcW w:w="2070" w:type="dxa"/>
            <w:shd w:val="pct10" w:color="auto" w:fill="auto"/>
            <w:vAlign w:val="center"/>
            <w:hideMark/>
          </w:tcPr>
          <w:p w14:paraId="5B11DDA5" w14:textId="5AB8CE52" w:rsidR="00FC5C47" w:rsidRPr="0025715D" w:rsidRDefault="00FC5C47" w:rsidP="0025715D">
            <w:pPr>
              <w:jc w:val="center"/>
              <w:rPr>
                <w:rFonts w:ascii="Georgia" w:eastAsia="Times New Roman" w:hAnsi="Georgia" w:cs="Arial"/>
                <w:b/>
                <w:sz w:val="20"/>
                <w:szCs w:val="18"/>
                <w:lang w:val="fr-FR"/>
              </w:rPr>
            </w:pPr>
            <w:r w:rsidRPr="0025715D">
              <w:rPr>
                <w:rFonts w:ascii="Georgia" w:eastAsia="Times New Roman" w:hAnsi="Georgia" w:cs="Arial"/>
                <w:b/>
                <w:sz w:val="20"/>
                <w:szCs w:val="18"/>
                <w:lang w:val="fr-FR"/>
              </w:rPr>
              <w:t>Décembre 2012</w:t>
            </w:r>
          </w:p>
        </w:tc>
      </w:tr>
      <w:tr w:rsidR="00FC5C47" w:rsidRPr="0025715D" w14:paraId="34EF7C35" w14:textId="77777777" w:rsidTr="007C45BE">
        <w:trPr>
          <w:trHeight w:val="288"/>
        </w:trPr>
        <w:tc>
          <w:tcPr>
            <w:tcW w:w="3060" w:type="dxa"/>
            <w:shd w:val="clear" w:color="auto" w:fill="auto"/>
            <w:vAlign w:val="center"/>
            <w:hideMark/>
          </w:tcPr>
          <w:p w14:paraId="20B5CC1D" w14:textId="57E0F8BC" w:rsidR="00FC5C47" w:rsidRPr="0025715D" w:rsidRDefault="00FC5C47" w:rsidP="007C45BE">
            <w:pPr>
              <w:rPr>
                <w:rFonts w:ascii="Georgia" w:eastAsia="Times New Roman" w:hAnsi="Georgia" w:cs="Arial"/>
                <w:sz w:val="20"/>
                <w:szCs w:val="18"/>
                <w:lang w:val="fr-FR"/>
              </w:rPr>
            </w:pPr>
            <w:r w:rsidRPr="0025715D">
              <w:rPr>
                <w:rFonts w:ascii="Georgia" w:eastAsia="Times New Roman" w:hAnsi="Georgia" w:cs="Arial"/>
                <w:sz w:val="20"/>
                <w:szCs w:val="18"/>
                <w:lang w:val="fr-FR"/>
              </w:rPr>
              <w:t>Asie-Pacifique</w:t>
            </w:r>
          </w:p>
        </w:tc>
        <w:tc>
          <w:tcPr>
            <w:tcW w:w="2070" w:type="dxa"/>
            <w:shd w:val="clear" w:color="auto" w:fill="auto"/>
            <w:vAlign w:val="center"/>
          </w:tcPr>
          <w:p w14:paraId="79643B44" w14:textId="77777777" w:rsidR="00FC5C47" w:rsidRPr="0025715D" w:rsidRDefault="00FC5C47" w:rsidP="007C45BE">
            <w:pPr>
              <w:jc w:val="center"/>
              <w:rPr>
                <w:rFonts w:ascii="Georgia" w:eastAsia="Times New Roman" w:hAnsi="Georgia" w:cs="Arial"/>
                <w:i/>
                <w:sz w:val="20"/>
                <w:szCs w:val="18"/>
                <w:lang w:val="fr-FR"/>
              </w:rPr>
            </w:pPr>
            <w:r w:rsidRPr="0025715D">
              <w:rPr>
                <w:rFonts w:ascii="Georgia" w:eastAsia="Times New Roman" w:hAnsi="Georgia" w:cs="Arial"/>
                <w:i/>
                <w:sz w:val="20"/>
                <w:szCs w:val="18"/>
                <w:lang w:val="fr-FR"/>
              </w:rPr>
              <w:t>8.0</w:t>
            </w:r>
          </w:p>
        </w:tc>
        <w:tc>
          <w:tcPr>
            <w:tcW w:w="2070" w:type="dxa"/>
            <w:shd w:val="clear" w:color="auto" w:fill="auto"/>
            <w:vAlign w:val="center"/>
          </w:tcPr>
          <w:p w14:paraId="15428B87" w14:textId="77777777" w:rsidR="00FC5C47" w:rsidRPr="0025715D" w:rsidRDefault="00FC5C47" w:rsidP="007C45BE">
            <w:pPr>
              <w:jc w:val="center"/>
              <w:rPr>
                <w:rFonts w:ascii="Georgia" w:eastAsia="Times New Roman" w:hAnsi="Georgia" w:cs="Arial"/>
                <w:sz w:val="20"/>
                <w:szCs w:val="18"/>
                <w:lang w:val="fr-FR"/>
              </w:rPr>
            </w:pPr>
            <w:r w:rsidRPr="0025715D">
              <w:rPr>
                <w:rFonts w:ascii="Georgia" w:eastAsia="Times New Roman" w:hAnsi="Georgia" w:cs="Arial"/>
                <w:sz w:val="20"/>
                <w:szCs w:val="18"/>
                <w:lang w:val="fr-FR"/>
              </w:rPr>
              <w:t>4.8</w:t>
            </w:r>
          </w:p>
        </w:tc>
      </w:tr>
      <w:tr w:rsidR="00FC5C47" w:rsidRPr="0025715D" w14:paraId="2B221F9B" w14:textId="77777777" w:rsidTr="007C45BE">
        <w:trPr>
          <w:trHeight w:val="288"/>
        </w:trPr>
        <w:tc>
          <w:tcPr>
            <w:tcW w:w="3060" w:type="dxa"/>
            <w:shd w:val="clear" w:color="auto" w:fill="D9D9D9" w:themeFill="background1" w:themeFillShade="D9"/>
            <w:vAlign w:val="center"/>
            <w:hideMark/>
          </w:tcPr>
          <w:p w14:paraId="627CBFA3" w14:textId="60EA7523" w:rsidR="00FC5C47" w:rsidRPr="0025715D" w:rsidRDefault="00FC5C47" w:rsidP="00FC5C47">
            <w:pPr>
              <w:rPr>
                <w:rFonts w:ascii="Georgia" w:eastAsia="Times New Roman" w:hAnsi="Georgia" w:cs="Arial"/>
                <w:sz w:val="20"/>
                <w:szCs w:val="18"/>
                <w:lang w:val="fr-FR"/>
              </w:rPr>
            </w:pPr>
            <w:r w:rsidRPr="0025715D">
              <w:rPr>
                <w:rFonts w:ascii="Georgia" w:eastAsia="Times New Roman" w:hAnsi="Georgia" w:cs="Arial"/>
                <w:sz w:val="20"/>
                <w:szCs w:val="18"/>
                <w:lang w:val="fr-FR"/>
              </w:rPr>
              <w:t>Amérique Latine</w:t>
            </w:r>
          </w:p>
        </w:tc>
        <w:tc>
          <w:tcPr>
            <w:tcW w:w="2070" w:type="dxa"/>
            <w:shd w:val="clear" w:color="auto" w:fill="D9D9D9" w:themeFill="background1" w:themeFillShade="D9"/>
            <w:noWrap/>
            <w:vAlign w:val="center"/>
          </w:tcPr>
          <w:p w14:paraId="66D0CDDE" w14:textId="77777777" w:rsidR="00FC5C47" w:rsidRPr="0025715D" w:rsidRDefault="00FC5C47" w:rsidP="007C45BE">
            <w:pPr>
              <w:jc w:val="center"/>
              <w:rPr>
                <w:rFonts w:ascii="Georgia" w:eastAsia="Times New Roman" w:hAnsi="Georgia" w:cs="Calibri"/>
                <w:i/>
                <w:color w:val="000000"/>
                <w:sz w:val="20"/>
                <w:szCs w:val="18"/>
                <w:lang w:val="fr-FR"/>
              </w:rPr>
            </w:pPr>
            <w:r w:rsidRPr="0025715D">
              <w:rPr>
                <w:rFonts w:ascii="Georgia" w:eastAsia="Times New Roman" w:hAnsi="Georgia" w:cs="Calibri"/>
                <w:i/>
                <w:color w:val="000000"/>
                <w:sz w:val="20"/>
                <w:szCs w:val="18"/>
                <w:lang w:val="fr-FR"/>
              </w:rPr>
              <w:t>11.5</w:t>
            </w:r>
          </w:p>
        </w:tc>
        <w:tc>
          <w:tcPr>
            <w:tcW w:w="2070" w:type="dxa"/>
            <w:shd w:val="clear" w:color="auto" w:fill="D9D9D9" w:themeFill="background1" w:themeFillShade="D9"/>
            <w:noWrap/>
            <w:vAlign w:val="center"/>
          </w:tcPr>
          <w:p w14:paraId="7376AEF0" w14:textId="77777777" w:rsidR="00FC5C47" w:rsidRPr="0025715D" w:rsidRDefault="00FC5C47" w:rsidP="007C45BE">
            <w:pPr>
              <w:jc w:val="center"/>
              <w:rPr>
                <w:rFonts w:ascii="Georgia" w:eastAsia="Times New Roman" w:hAnsi="Georgia" w:cs="Calibri"/>
                <w:color w:val="000000"/>
                <w:sz w:val="20"/>
                <w:szCs w:val="18"/>
                <w:lang w:val="fr-FR"/>
              </w:rPr>
            </w:pPr>
            <w:r w:rsidRPr="0025715D">
              <w:rPr>
                <w:rFonts w:ascii="Georgia" w:eastAsia="Times New Roman" w:hAnsi="Georgia" w:cs="Calibri"/>
                <w:color w:val="000000"/>
                <w:sz w:val="20"/>
                <w:szCs w:val="18"/>
                <w:lang w:val="fr-FR"/>
              </w:rPr>
              <w:t>11.9</w:t>
            </w:r>
          </w:p>
        </w:tc>
      </w:tr>
      <w:tr w:rsidR="00FC5C47" w:rsidRPr="0025715D" w14:paraId="15B01DB9" w14:textId="77777777" w:rsidTr="007C45BE">
        <w:trPr>
          <w:trHeight w:val="288"/>
        </w:trPr>
        <w:tc>
          <w:tcPr>
            <w:tcW w:w="3060" w:type="dxa"/>
            <w:shd w:val="clear" w:color="auto" w:fill="auto"/>
            <w:vAlign w:val="center"/>
            <w:hideMark/>
          </w:tcPr>
          <w:p w14:paraId="57233EDF" w14:textId="4B6E1B0B" w:rsidR="00FC5C47" w:rsidRPr="0025715D" w:rsidRDefault="00FC5C47" w:rsidP="00FC5C47">
            <w:pPr>
              <w:rPr>
                <w:rFonts w:ascii="Georgia" w:eastAsia="Times New Roman" w:hAnsi="Georgia" w:cs="Arial"/>
                <w:sz w:val="20"/>
                <w:szCs w:val="18"/>
                <w:lang w:val="fr-FR"/>
              </w:rPr>
            </w:pPr>
            <w:r w:rsidRPr="0025715D">
              <w:rPr>
                <w:rFonts w:ascii="Georgia" w:eastAsia="Times New Roman" w:hAnsi="Georgia" w:cs="Arial"/>
                <w:sz w:val="20"/>
                <w:szCs w:val="18"/>
                <w:lang w:val="fr-FR"/>
              </w:rPr>
              <w:t>Amérique du Nord</w:t>
            </w:r>
          </w:p>
        </w:tc>
        <w:tc>
          <w:tcPr>
            <w:tcW w:w="2070" w:type="dxa"/>
            <w:shd w:val="clear" w:color="auto" w:fill="auto"/>
            <w:noWrap/>
            <w:vAlign w:val="center"/>
          </w:tcPr>
          <w:p w14:paraId="7E2FC860" w14:textId="77777777" w:rsidR="00FC5C47" w:rsidRPr="0025715D" w:rsidRDefault="00FC5C47" w:rsidP="007C45BE">
            <w:pPr>
              <w:jc w:val="center"/>
              <w:rPr>
                <w:rFonts w:ascii="Georgia" w:eastAsia="Times New Roman" w:hAnsi="Georgia" w:cs="Calibri"/>
                <w:i/>
                <w:color w:val="000000"/>
                <w:sz w:val="20"/>
                <w:szCs w:val="18"/>
                <w:lang w:val="fr-FR"/>
              </w:rPr>
            </w:pPr>
            <w:r w:rsidRPr="0025715D">
              <w:rPr>
                <w:rFonts w:ascii="Georgia" w:eastAsia="Times New Roman" w:hAnsi="Georgia" w:cs="Calibri"/>
                <w:i/>
                <w:color w:val="000000"/>
                <w:sz w:val="20"/>
                <w:szCs w:val="18"/>
                <w:lang w:val="fr-FR"/>
              </w:rPr>
              <w:t>1.0</w:t>
            </w:r>
          </w:p>
        </w:tc>
        <w:tc>
          <w:tcPr>
            <w:tcW w:w="2070" w:type="dxa"/>
            <w:shd w:val="clear" w:color="auto" w:fill="auto"/>
            <w:noWrap/>
            <w:vAlign w:val="center"/>
          </w:tcPr>
          <w:p w14:paraId="0A270323" w14:textId="77777777" w:rsidR="00FC5C47" w:rsidRPr="0025715D" w:rsidRDefault="00FC5C47" w:rsidP="007C45BE">
            <w:pPr>
              <w:jc w:val="center"/>
              <w:rPr>
                <w:rFonts w:ascii="Georgia" w:eastAsia="Times New Roman" w:hAnsi="Georgia" w:cs="Calibri"/>
                <w:color w:val="000000"/>
                <w:sz w:val="20"/>
                <w:szCs w:val="18"/>
                <w:lang w:val="fr-FR"/>
              </w:rPr>
            </w:pPr>
            <w:r w:rsidRPr="0025715D">
              <w:rPr>
                <w:rFonts w:ascii="Georgia" w:eastAsia="Times New Roman" w:hAnsi="Georgia" w:cs="Calibri"/>
                <w:color w:val="000000"/>
                <w:sz w:val="20"/>
                <w:szCs w:val="18"/>
                <w:lang w:val="fr-FR"/>
              </w:rPr>
              <w:t>1.0</w:t>
            </w:r>
          </w:p>
        </w:tc>
      </w:tr>
      <w:tr w:rsidR="00FC5C47" w:rsidRPr="0025715D" w14:paraId="178509CF" w14:textId="77777777" w:rsidTr="007C45BE">
        <w:trPr>
          <w:trHeight w:val="288"/>
        </w:trPr>
        <w:tc>
          <w:tcPr>
            <w:tcW w:w="3060" w:type="dxa"/>
            <w:shd w:val="clear" w:color="auto" w:fill="D9D9D9" w:themeFill="background1" w:themeFillShade="D9"/>
            <w:vAlign w:val="center"/>
            <w:hideMark/>
          </w:tcPr>
          <w:p w14:paraId="20710B0A" w14:textId="3D45E995" w:rsidR="00FC5C47" w:rsidRPr="0025715D" w:rsidRDefault="00FC5C47" w:rsidP="007C45BE">
            <w:pPr>
              <w:rPr>
                <w:rFonts w:ascii="Georgia" w:eastAsia="Times New Roman" w:hAnsi="Georgia" w:cs="Arial"/>
                <w:sz w:val="20"/>
                <w:szCs w:val="18"/>
                <w:lang w:val="fr-FR"/>
              </w:rPr>
            </w:pPr>
            <w:r w:rsidRPr="0025715D">
              <w:rPr>
                <w:rFonts w:ascii="Georgia" w:eastAsia="Times New Roman" w:hAnsi="Georgia" w:cs="Arial"/>
                <w:color w:val="000000"/>
                <w:sz w:val="20"/>
                <w:szCs w:val="18"/>
                <w:lang w:val="fr-FR"/>
              </w:rPr>
              <w:t>Europe Occidentale</w:t>
            </w:r>
          </w:p>
        </w:tc>
        <w:tc>
          <w:tcPr>
            <w:tcW w:w="2070" w:type="dxa"/>
            <w:shd w:val="clear" w:color="auto" w:fill="D9D9D9" w:themeFill="background1" w:themeFillShade="D9"/>
            <w:noWrap/>
            <w:vAlign w:val="center"/>
          </w:tcPr>
          <w:p w14:paraId="2BC14764" w14:textId="77777777" w:rsidR="00FC5C47" w:rsidRPr="0025715D" w:rsidRDefault="00FC5C47" w:rsidP="007C45BE">
            <w:pPr>
              <w:jc w:val="center"/>
              <w:rPr>
                <w:rFonts w:ascii="Georgia" w:eastAsia="Times New Roman" w:hAnsi="Georgia" w:cs="Calibri"/>
                <w:i/>
                <w:color w:val="000000"/>
                <w:sz w:val="20"/>
                <w:szCs w:val="18"/>
                <w:lang w:val="fr-FR"/>
              </w:rPr>
            </w:pPr>
            <w:r w:rsidRPr="0025715D">
              <w:rPr>
                <w:rFonts w:ascii="Georgia" w:eastAsia="Times New Roman" w:hAnsi="Georgia" w:cs="Calibri"/>
                <w:i/>
                <w:color w:val="000000"/>
                <w:sz w:val="20"/>
                <w:szCs w:val="18"/>
                <w:lang w:val="fr-FR"/>
              </w:rPr>
              <w:t>1.9</w:t>
            </w:r>
          </w:p>
        </w:tc>
        <w:tc>
          <w:tcPr>
            <w:tcW w:w="2070" w:type="dxa"/>
            <w:shd w:val="clear" w:color="auto" w:fill="D9D9D9" w:themeFill="background1" w:themeFillShade="D9"/>
            <w:noWrap/>
            <w:vAlign w:val="center"/>
          </w:tcPr>
          <w:p w14:paraId="30DC891E" w14:textId="77777777" w:rsidR="00FC5C47" w:rsidRPr="0025715D" w:rsidRDefault="00FC5C47" w:rsidP="007C45BE">
            <w:pPr>
              <w:jc w:val="center"/>
              <w:rPr>
                <w:rFonts w:ascii="Georgia" w:eastAsia="Times New Roman" w:hAnsi="Georgia" w:cs="Calibri"/>
                <w:color w:val="000000"/>
                <w:sz w:val="20"/>
                <w:szCs w:val="18"/>
                <w:lang w:val="fr-FR"/>
              </w:rPr>
            </w:pPr>
            <w:r w:rsidRPr="0025715D">
              <w:rPr>
                <w:rFonts w:ascii="Georgia" w:eastAsia="Times New Roman" w:hAnsi="Georgia" w:cs="Calibri"/>
                <w:color w:val="000000"/>
                <w:sz w:val="20"/>
                <w:szCs w:val="18"/>
                <w:lang w:val="fr-FR"/>
              </w:rPr>
              <w:t>-0.1</w:t>
            </w:r>
          </w:p>
        </w:tc>
      </w:tr>
      <w:tr w:rsidR="00FC5C47" w:rsidRPr="00D37949" w14:paraId="4DF8D8D8" w14:textId="77777777" w:rsidTr="007C45BE">
        <w:trPr>
          <w:trHeight w:val="288"/>
        </w:trPr>
        <w:tc>
          <w:tcPr>
            <w:tcW w:w="3060" w:type="dxa"/>
            <w:shd w:val="clear" w:color="auto" w:fill="auto"/>
            <w:noWrap/>
            <w:vAlign w:val="center"/>
            <w:hideMark/>
          </w:tcPr>
          <w:p w14:paraId="65D60FBB" w14:textId="3C34CC6F" w:rsidR="00FC5C47" w:rsidRPr="00D37949" w:rsidRDefault="00FC5C47" w:rsidP="007C45BE">
            <w:pPr>
              <w:rPr>
                <w:rFonts w:ascii="Georgia" w:eastAsia="Times New Roman" w:hAnsi="Georgia" w:cs="Arial"/>
                <w:color w:val="000000"/>
                <w:sz w:val="20"/>
                <w:szCs w:val="18"/>
              </w:rPr>
            </w:pPr>
            <w:r w:rsidRPr="0025715D">
              <w:rPr>
                <w:rFonts w:ascii="Georgia" w:eastAsia="Times New Roman" w:hAnsi="Georgia" w:cs="Arial"/>
                <w:color w:val="000000"/>
                <w:sz w:val="20"/>
                <w:szCs w:val="18"/>
                <w:lang w:val="fr-FR"/>
              </w:rPr>
              <w:t xml:space="preserve">Europe </w:t>
            </w:r>
            <w:proofErr w:type="spellStart"/>
            <w:r w:rsidRPr="0025715D">
              <w:rPr>
                <w:rFonts w:ascii="Georgia" w:eastAsia="Times New Roman" w:hAnsi="Georgia" w:cs="Arial"/>
                <w:color w:val="000000"/>
                <w:sz w:val="20"/>
                <w:szCs w:val="18"/>
                <w:lang w:val="fr-FR"/>
              </w:rPr>
              <w:t>Centr</w:t>
            </w:r>
            <w:proofErr w:type="spellEnd"/>
            <w:r>
              <w:rPr>
                <w:rFonts w:ascii="Georgia" w:eastAsia="Times New Roman" w:hAnsi="Georgia" w:cs="Arial"/>
                <w:color w:val="000000"/>
                <w:sz w:val="20"/>
                <w:szCs w:val="18"/>
              </w:rPr>
              <w:t>ale et Orientale</w:t>
            </w:r>
          </w:p>
        </w:tc>
        <w:tc>
          <w:tcPr>
            <w:tcW w:w="2070" w:type="dxa"/>
            <w:shd w:val="clear" w:color="auto" w:fill="auto"/>
            <w:noWrap/>
            <w:vAlign w:val="center"/>
          </w:tcPr>
          <w:p w14:paraId="6026685A" w14:textId="77777777" w:rsidR="00FC5C47" w:rsidRPr="0025715D" w:rsidRDefault="00FC5C47" w:rsidP="007C45BE">
            <w:pPr>
              <w:jc w:val="center"/>
              <w:rPr>
                <w:rFonts w:ascii="Georgia" w:eastAsia="Times New Roman" w:hAnsi="Georgia" w:cs="Calibri"/>
                <w:i/>
                <w:color w:val="000000"/>
                <w:sz w:val="20"/>
                <w:szCs w:val="18"/>
              </w:rPr>
            </w:pPr>
            <w:r w:rsidRPr="0025715D">
              <w:rPr>
                <w:rFonts w:ascii="Georgia" w:eastAsia="Times New Roman" w:hAnsi="Georgia" w:cs="Calibri"/>
                <w:i/>
                <w:color w:val="000000"/>
                <w:sz w:val="20"/>
                <w:szCs w:val="18"/>
              </w:rPr>
              <w:t>8.5</w:t>
            </w:r>
          </w:p>
        </w:tc>
        <w:tc>
          <w:tcPr>
            <w:tcW w:w="2070" w:type="dxa"/>
            <w:shd w:val="clear" w:color="auto" w:fill="auto"/>
            <w:noWrap/>
            <w:vAlign w:val="center"/>
          </w:tcPr>
          <w:p w14:paraId="3C7E225B" w14:textId="77777777" w:rsidR="00FC5C47" w:rsidRPr="00D37949" w:rsidRDefault="00FC5C47" w:rsidP="007C45BE">
            <w:pPr>
              <w:jc w:val="center"/>
              <w:rPr>
                <w:rFonts w:ascii="Georgia" w:eastAsia="Times New Roman" w:hAnsi="Georgia" w:cs="Calibri"/>
                <w:color w:val="000000"/>
                <w:sz w:val="20"/>
                <w:szCs w:val="18"/>
              </w:rPr>
            </w:pPr>
            <w:r>
              <w:rPr>
                <w:rFonts w:ascii="Georgia" w:eastAsia="Times New Roman" w:hAnsi="Georgia" w:cs="Calibri"/>
                <w:color w:val="000000"/>
                <w:sz w:val="20"/>
                <w:szCs w:val="18"/>
              </w:rPr>
              <w:t>7.0</w:t>
            </w:r>
          </w:p>
        </w:tc>
      </w:tr>
      <w:tr w:rsidR="00FC5C47" w:rsidRPr="00D37949" w14:paraId="73082A10" w14:textId="77777777" w:rsidTr="007C45BE">
        <w:trPr>
          <w:trHeight w:val="288"/>
        </w:trPr>
        <w:tc>
          <w:tcPr>
            <w:tcW w:w="3060" w:type="dxa"/>
            <w:shd w:val="clear" w:color="auto" w:fill="D9D9D9" w:themeFill="background1" w:themeFillShade="D9"/>
            <w:noWrap/>
            <w:vAlign w:val="center"/>
            <w:hideMark/>
          </w:tcPr>
          <w:p w14:paraId="5EA3C3DD" w14:textId="49DF6DD1" w:rsidR="00FC5C47" w:rsidRPr="00D37949" w:rsidRDefault="00FC5C47" w:rsidP="007C45BE">
            <w:pPr>
              <w:rPr>
                <w:rFonts w:ascii="Georgia" w:eastAsia="Times New Roman" w:hAnsi="Georgia" w:cs="Arial"/>
                <w:color w:val="000000"/>
                <w:sz w:val="20"/>
                <w:szCs w:val="18"/>
              </w:rPr>
            </w:pPr>
            <w:r>
              <w:rPr>
                <w:rFonts w:ascii="Georgia" w:eastAsia="Times New Roman" w:hAnsi="Georgia" w:cs="Arial"/>
                <w:color w:val="000000"/>
                <w:sz w:val="20"/>
                <w:szCs w:val="18"/>
              </w:rPr>
              <w:t xml:space="preserve">Monde en </w:t>
            </w:r>
            <w:proofErr w:type="spellStart"/>
            <w:r>
              <w:rPr>
                <w:rFonts w:ascii="Georgia" w:eastAsia="Times New Roman" w:hAnsi="Georgia" w:cs="Arial"/>
                <w:color w:val="000000"/>
                <w:sz w:val="20"/>
                <w:szCs w:val="18"/>
              </w:rPr>
              <w:t>développement</w:t>
            </w:r>
            <w:proofErr w:type="spellEnd"/>
          </w:p>
        </w:tc>
        <w:tc>
          <w:tcPr>
            <w:tcW w:w="2070" w:type="dxa"/>
            <w:shd w:val="clear" w:color="auto" w:fill="D9D9D9" w:themeFill="background1" w:themeFillShade="D9"/>
            <w:noWrap/>
            <w:vAlign w:val="center"/>
          </w:tcPr>
          <w:p w14:paraId="4B9DD69E" w14:textId="77777777" w:rsidR="00FC5C47" w:rsidRPr="0025715D" w:rsidRDefault="00FC5C47" w:rsidP="007C45BE">
            <w:pPr>
              <w:jc w:val="center"/>
              <w:rPr>
                <w:rFonts w:ascii="Georgia" w:eastAsia="Times New Roman" w:hAnsi="Georgia" w:cs="Calibri"/>
                <w:i/>
                <w:color w:val="FF0000"/>
                <w:sz w:val="20"/>
                <w:szCs w:val="18"/>
              </w:rPr>
            </w:pPr>
            <w:r w:rsidRPr="0025715D">
              <w:rPr>
                <w:rFonts w:ascii="Georgia" w:eastAsia="Times New Roman" w:hAnsi="Georgia" w:cs="Calibri"/>
                <w:i/>
                <w:color w:val="FF0000"/>
                <w:sz w:val="20"/>
                <w:szCs w:val="18"/>
              </w:rPr>
              <w:t>12.8</w:t>
            </w:r>
          </w:p>
        </w:tc>
        <w:tc>
          <w:tcPr>
            <w:tcW w:w="2070" w:type="dxa"/>
            <w:shd w:val="clear" w:color="auto" w:fill="D9D9D9" w:themeFill="background1" w:themeFillShade="D9"/>
            <w:noWrap/>
            <w:vAlign w:val="center"/>
          </w:tcPr>
          <w:p w14:paraId="013F435E" w14:textId="77777777" w:rsidR="00FC5C47" w:rsidRPr="00D37949" w:rsidRDefault="00FC5C47" w:rsidP="007C45BE">
            <w:pPr>
              <w:jc w:val="center"/>
              <w:rPr>
                <w:rFonts w:ascii="Georgia" w:eastAsia="Times New Roman" w:hAnsi="Georgia" w:cs="Calibri"/>
                <w:color w:val="FF0000"/>
                <w:sz w:val="20"/>
                <w:szCs w:val="18"/>
              </w:rPr>
            </w:pPr>
            <w:r>
              <w:rPr>
                <w:rFonts w:ascii="Georgia" w:eastAsia="Times New Roman" w:hAnsi="Georgia" w:cs="Calibri"/>
                <w:color w:val="FF0000"/>
                <w:sz w:val="20"/>
                <w:szCs w:val="18"/>
              </w:rPr>
              <w:t>9.9</w:t>
            </w:r>
          </w:p>
        </w:tc>
      </w:tr>
      <w:tr w:rsidR="00FC5C47" w:rsidRPr="00D37949" w14:paraId="4C9D04FA" w14:textId="77777777" w:rsidTr="007C45BE">
        <w:trPr>
          <w:trHeight w:val="288"/>
        </w:trPr>
        <w:tc>
          <w:tcPr>
            <w:tcW w:w="3060" w:type="dxa"/>
            <w:shd w:val="clear" w:color="auto" w:fill="auto"/>
            <w:noWrap/>
            <w:vAlign w:val="center"/>
          </w:tcPr>
          <w:p w14:paraId="1B429B81" w14:textId="4FF33F92" w:rsidR="00FC5C47" w:rsidRPr="00D37949" w:rsidRDefault="00FC5C47" w:rsidP="007C45BE">
            <w:pPr>
              <w:rPr>
                <w:rFonts w:ascii="Georgia" w:eastAsia="Times New Roman" w:hAnsi="Georgia" w:cs="Arial"/>
                <w:color w:val="000000"/>
                <w:sz w:val="20"/>
                <w:szCs w:val="18"/>
              </w:rPr>
            </w:pPr>
            <w:r>
              <w:rPr>
                <w:rFonts w:ascii="Georgia" w:eastAsia="Times New Roman" w:hAnsi="Georgia" w:cs="Arial"/>
                <w:color w:val="000000"/>
                <w:sz w:val="20"/>
                <w:szCs w:val="18"/>
              </w:rPr>
              <w:t xml:space="preserve">Monde </w:t>
            </w:r>
            <w:proofErr w:type="spellStart"/>
            <w:r>
              <w:rPr>
                <w:rFonts w:ascii="Georgia" w:eastAsia="Times New Roman" w:hAnsi="Georgia" w:cs="Arial"/>
                <w:color w:val="000000"/>
                <w:sz w:val="20"/>
                <w:szCs w:val="18"/>
              </w:rPr>
              <w:t>développé</w:t>
            </w:r>
            <w:proofErr w:type="spellEnd"/>
          </w:p>
        </w:tc>
        <w:tc>
          <w:tcPr>
            <w:tcW w:w="2070" w:type="dxa"/>
            <w:shd w:val="clear" w:color="auto" w:fill="auto"/>
            <w:noWrap/>
            <w:vAlign w:val="center"/>
          </w:tcPr>
          <w:p w14:paraId="65547442" w14:textId="77777777" w:rsidR="00FC5C47" w:rsidRPr="0025715D" w:rsidRDefault="00FC5C47" w:rsidP="007C45BE">
            <w:pPr>
              <w:jc w:val="center"/>
              <w:rPr>
                <w:rFonts w:ascii="Georgia" w:eastAsia="Times New Roman" w:hAnsi="Georgia" w:cs="Calibri"/>
                <w:i/>
                <w:color w:val="000000"/>
                <w:sz w:val="20"/>
                <w:szCs w:val="18"/>
              </w:rPr>
            </w:pPr>
            <w:r w:rsidRPr="0025715D">
              <w:rPr>
                <w:rFonts w:ascii="Georgia" w:eastAsia="Times New Roman" w:hAnsi="Georgia" w:cs="Calibri"/>
                <w:i/>
                <w:color w:val="000000"/>
                <w:sz w:val="20"/>
                <w:szCs w:val="18"/>
              </w:rPr>
              <w:t>1.6</w:t>
            </w:r>
          </w:p>
        </w:tc>
        <w:tc>
          <w:tcPr>
            <w:tcW w:w="2070" w:type="dxa"/>
            <w:shd w:val="clear" w:color="auto" w:fill="auto"/>
            <w:noWrap/>
            <w:vAlign w:val="center"/>
          </w:tcPr>
          <w:p w14:paraId="73FD045B" w14:textId="77777777" w:rsidR="00FC5C47" w:rsidRPr="00D37949" w:rsidRDefault="00FC5C47" w:rsidP="007C45BE">
            <w:pPr>
              <w:jc w:val="center"/>
              <w:rPr>
                <w:rFonts w:ascii="Georgia" w:eastAsia="Times New Roman" w:hAnsi="Georgia" w:cs="Calibri"/>
                <w:color w:val="000000"/>
                <w:sz w:val="20"/>
                <w:szCs w:val="18"/>
              </w:rPr>
            </w:pPr>
            <w:r>
              <w:rPr>
                <w:rFonts w:ascii="Georgia" w:eastAsia="Times New Roman" w:hAnsi="Georgia" w:cs="Calibri"/>
                <w:color w:val="000000"/>
                <w:sz w:val="20"/>
                <w:szCs w:val="18"/>
              </w:rPr>
              <w:t>0.7</w:t>
            </w:r>
          </w:p>
        </w:tc>
      </w:tr>
      <w:tr w:rsidR="00FC5C47" w:rsidRPr="00D37949" w14:paraId="64CF4B90" w14:textId="77777777" w:rsidTr="007C45BE">
        <w:trPr>
          <w:trHeight w:val="288"/>
        </w:trPr>
        <w:tc>
          <w:tcPr>
            <w:tcW w:w="3060" w:type="dxa"/>
            <w:shd w:val="clear" w:color="auto" w:fill="D9D9D9" w:themeFill="background1" w:themeFillShade="D9"/>
            <w:noWrap/>
            <w:vAlign w:val="center"/>
            <w:hideMark/>
          </w:tcPr>
          <w:p w14:paraId="3ED4D6A4" w14:textId="60125F46" w:rsidR="00FC5C47" w:rsidRPr="00D37949" w:rsidRDefault="0025715D" w:rsidP="007C45BE">
            <w:pPr>
              <w:rPr>
                <w:rFonts w:ascii="Georgia" w:eastAsia="Times New Roman" w:hAnsi="Georgia" w:cs="Arial"/>
                <w:b/>
                <w:color w:val="000000"/>
                <w:sz w:val="20"/>
                <w:szCs w:val="18"/>
              </w:rPr>
            </w:pPr>
            <w:r>
              <w:rPr>
                <w:rFonts w:ascii="Georgia" w:eastAsia="Times New Roman" w:hAnsi="Georgia" w:cs="Arial"/>
                <w:b/>
                <w:color w:val="000000"/>
                <w:sz w:val="20"/>
                <w:szCs w:val="18"/>
              </w:rPr>
              <w:t>Monde (71 pays)</w:t>
            </w:r>
          </w:p>
        </w:tc>
        <w:tc>
          <w:tcPr>
            <w:tcW w:w="2070" w:type="dxa"/>
            <w:shd w:val="clear" w:color="auto" w:fill="D9D9D9" w:themeFill="background1" w:themeFillShade="D9"/>
            <w:noWrap/>
            <w:vAlign w:val="center"/>
          </w:tcPr>
          <w:p w14:paraId="063B3A08" w14:textId="77777777" w:rsidR="00FC5C47" w:rsidRPr="0025715D" w:rsidRDefault="00FC5C47" w:rsidP="007C45BE">
            <w:pPr>
              <w:jc w:val="center"/>
              <w:rPr>
                <w:rFonts w:ascii="Georgia" w:eastAsia="Times New Roman" w:hAnsi="Georgia" w:cs="Calibri"/>
                <w:b/>
                <w:i/>
                <w:color w:val="000000"/>
                <w:sz w:val="20"/>
                <w:szCs w:val="18"/>
              </w:rPr>
            </w:pPr>
            <w:r w:rsidRPr="0025715D">
              <w:rPr>
                <w:rFonts w:ascii="Georgia" w:eastAsia="Times New Roman" w:hAnsi="Georgia" w:cs="Calibri"/>
                <w:b/>
                <w:i/>
                <w:color w:val="000000"/>
                <w:sz w:val="20"/>
                <w:szCs w:val="18"/>
              </w:rPr>
              <w:t>4.5</w:t>
            </w:r>
          </w:p>
        </w:tc>
        <w:tc>
          <w:tcPr>
            <w:tcW w:w="2070" w:type="dxa"/>
            <w:shd w:val="clear" w:color="auto" w:fill="D9D9D9" w:themeFill="background1" w:themeFillShade="D9"/>
            <w:noWrap/>
            <w:vAlign w:val="center"/>
          </w:tcPr>
          <w:p w14:paraId="292E0053" w14:textId="77777777" w:rsidR="00FC5C47" w:rsidRPr="00D37949" w:rsidRDefault="00FC5C47" w:rsidP="007C45BE">
            <w:pPr>
              <w:jc w:val="center"/>
              <w:rPr>
                <w:rFonts w:ascii="Georgia" w:eastAsia="Times New Roman" w:hAnsi="Georgia" w:cs="Calibri"/>
                <w:b/>
                <w:color w:val="000000"/>
                <w:sz w:val="20"/>
                <w:szCs w:val="18"/>
              </w:rPr>
            </w:pPr>
            <w:r>
              <w:rPr>
                <w:rFonts w:ascii="Georgia" w:eastAsia="Times New Roman" w:hAnsi="Georgia" w:cs="Calibri"/>
                <w:b/>
                <w:color w:val="000000"/>
                <w:sz w:val="20"/>
                <w:szCs w:val="18"/>
              </w:rPr>
              <w:t>3.1</w:t>
            </w:r>
          </w:p>
        </w:tc>
      </w:tr>
      <w:tr w:rsidR="00FC5C47" w:rsidRPr="00D37949" w14:paraId="6E4C538E" w14:textId="77777777" w:rsidTr="007C45BE">
        <w:trPr>
          <w:trHeight w:val="255"/>
        </w:trPr>
        <w:tc>
          <w:tcPr>
            <w:tcW w:w="3060" w:type="dxa"/>
            <w:shd w:val="clear" w:color="auto" w:fill="auto"/>
            <w:noWrap/>
            <w:vAlign w:val="center"/>
          </w:tcPr>
          <w:p w14:paraId="7F92C43A" w14:textId="77777777" w:rsidR="00FC5C47" w:rsidRPr="00D37949" w:rsidRDefault="00FC5C47" w:rsidP="007C45BE">
            <w:pPr>
              <w:rPr>
                <w:rFonts w:ascii="Georgia" w:eastAsia="Times New Roman" w:hAnsi="Georgia" w:cs="Arial"/>
                <w:color w:val="000000"/>
                <w:sz w:val="18"/>
                <w:szCs w:val="18"/>
              </w:rPr>
            </w:pPr>
          </w:p>
        </w:tc>
        <w:tc>
          <w:tcPr>
            <w:tcW w:w="2070" w:type="dxa"/>
            <w:shd w:val="clear" w:color="auto" w:fill="auto"/>
            <w:noWrap/>
            <w:vAlign w:val="center"/>
          </w:tcPr>
          <w:p w14:paraId="3C7EDB02" w14:textId="77777777" w:rsidR="00FC5C47" w:rsidRPr="00D37949" w:rsidRDefault="00FC5C47" w:rsidP="007C45BE">
            <w:pPr>
              <w:jc w:val="center"/>
              <w:rPr>
                <w:rFonts w:ascii="Georgia" w:eastAsia="Times New Roman" w:hAnsi="Georgia" w:cs="Calibri"/>
                <w:color w:val="000000"/>
                <w:sz w:val="18"/>
                <w:szCs w:val="18"/>
              </w:rPr>
            </w:pPr>
          </w:p>
        </w:tc>
        <w:tc>
          <w:tcPr>
            <w:tcW w:w="2070" w:type="dxa"/>
            <w:shd w:val="clear" w:color="auto" w:fill="auto"/>
            <w:noWrap/>
            <w:vAlign w:val="center"/>
          </w:tcPr>
          <w:p w14:paraId="69A4B1F8" w14:textId="77777777" w:rsidR="00FC5C47" w:rsidRPr="00D37949" w:rsidRDefault="00FC5C47" w:rsidP="007C45BE">
            <w:pPr>
              <w:jc w:val="center"/>
              <w:rPr>
                <w:rFonts w:ascii="Georgia" w:eastAsia="Times New Roman" w:hAnsi="Georgia" w:cs="Calibri"/>
                <w:color w:val="000000"/>
                <w:sz w:val="18"/>
                <w:szCs w:val="18"/>
              </w:rPr>
            </w:pPr>
          </w:p>
        </w:tc>
      </w:tr>
    </w:tbl>
    <w:p w14:paraId="012E4DF9" w14:textId="77777777" w:rsidR="00FC5C47" w:rsidRDefault="00FC5C47" w:rsidP="00FC5C47">
      <w:pPr>
        <w:autoSpaceDE w:val="0"/>
        <w:autoSpaceDN w:val="0"/>
        <w:adjustRightInd w:val="0"/>
        <w:rPr>
          <w:rFonts w:ascii="Georgia" w:eastAsia="Times New Roman" w:hAnsi="Times New Roman" w:cs="Georgia"/>
          <w:color w:val="000000"/>
          <w:kern w:val="24"/>
          <w:sz w:val="14"/>
          <w:szCs w:val="14"/>
        </w:rPr>
      </w:pPr>
      <w:r>
        <w:rPr>
          <w:rFonts w:ascii="Georgia" w:eastAsia="Times New Roman" w:hAnsi="Times New Roman" w:cs="Georgia"/>
          <w:color w:val="000000"/>
          <w:kern w:val="24"/>
          <w:sz w:val="14"/>
          <w:szCs w:val="14"/>
        </w:rPr>
        <w:t>*Developed markets: Western Europe, North America, Australia, New Zealand, Japan, South Korea, Singapore, Hong Kong, Taiwan.</w:t>
      </w:r>
    </w:p>
    <w:p w14:paraId="687205C6" w14:textId="77777777" w:rsidR="00FC5C47" w:rsidRPr="00F3097F" w:rsidRDefault="00FC5C47" w:rsidP="00FC5C47">
      <w:pPr>
        <w:jc w:val="both"/>
        <w:rPr>
          <w:rFonts w:ascii="Georgia" w:hAnsi="Georgia" w:cs="Arial"/>
        </w:rPr>
      </w:pPr>
    </w:p>
    <w:p w14:paraId="79545F3C" w14:textId="77777777" w:rsidR="00FC5C47" w:rsidRPr="00D37949" w:rsidRDefault="00FC5C47" w:rsidP="00FC5C47">
      <w:pPr>
        <w:rPr>
          <w:i/>
        </w:rPr>
      </w:pPr>
    </w:p>
    <w:p w14:paraId="34D67217" w14:textId="77777777" w:rsidR="00FC5C47" w:rsidRDefault="00FC5C47" w:rsidP="00FC5C47">
      <w:pPr>
        <w:jc w:val="both"/>
        <w:rPr>
          <w:rFonts w:ascii="Georgia" w:hAnsi="Georgia" w:cs="Arial"/>
          <w:i/>
        </w:rPr>
      </w:pPr>
    </w:p>
    <w:p w14:paraId="21E3A869" w14:textId="77777777" w:rsidR="00FC5C47" w:rsidRPr="006B41CF" w:rsidRDefault="00FC5C47" w:rsidP="00FC5C47">
      <w:pPr>
        <w:spacing w:line="360" w:lineRule="auto"/>
        <w:jc w:val="both"/>
        <w:rPr>
          <w:u w:val="words"/>
        </w:rPr>
      </w:pPr>
    </w:p>
    <w:p w14:paraId="32BF40C0" w14:textId="77777777" w:rsidR="00FC5C47" w:rsidRPr="00E07520" w:rsidRDefault="00FC5C47" w:rsidP="00C255E8">
      <w:pPr>
        <w:autoSpaceDE w:val="0"/>
        <w:autoSpaceDN w:val="0"/>
        <w:spacing w:after="100" w:afterAutospacing="1"/>
        <w:rPr>
          <w:rFonts w:ascii="Georgia" w:hAnsi="Georgia" w:cs="Arial"/>
        </w:rPr>
      </w:pPr>
    </w:p>
    <w:sectPr w:rsidR="00FC5C47" w:rsidRPr="00E07520" w:rsidSect="00D37949">
      <w:headerReference w:type="default" r:id="rId14"/>
      <w:footerReference w:type="default" r:id="rId15"/>
      <w:pgSz w:w="12240" w:h="15840"/>
      <w:pgMar w:top="1440" w:right="1440" w:bottom="1440" w:left="1440" w:header="0" w:footer="0" w:gutter="0"/>
      <w:pgBorders w:offsetFrom="page">
        <w:top w:val="none" w:sz="249" w:space="15" w:color="000000" w:shadow="1"/>
        <w:left w:val="none" w:sz="0" w:space="27" w:color="FF0100" w:shadow="1"/>
        <w:bottom w:val="none" w:sz="0" w:space="7" w:color="8F6000" w:shadow="1"/>
        <w:right w:val="none" w:sz="31" w:space="12" w:color="00006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726A" w14:textId="77777777" w:rsidR="00B63277" w:rsidRDefault="00B63277" w:rsidP="007C345B">
      <w:r>
        <w:separator/>
      </w:r>
    </w:p>
  </w:endnote>
  <w:endnote w:type="continuationSeparator" w:id="0">
    <w:p w14:paraId="01DEAB59" w14:textId="77777777" w:rsidR="00B63277" w:rsidRDefault="00B63277" w:rsidP="007C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9E3" w14:textId="77777777" w:rsidR="00B63277" w:rsidRDefault="00B63277" w:rsidP="007B19E2">
    <w:pPr>
      <w:rPr>
        <w:u w:val="words"/>
      </w:rPr>
    </w:pPr>
  </w:p>
  <w:p w14:paraId="1FD783A5" w14:textId="77777777" w:rsidR="00B63277" w:rsidRDefault="00B63277" w:rsidP="00ED60FD">
    <w:pPr>
      <w:pStyle w:val="Pieddepage"/>
      <w:tabs>
        <w:tab w:val="clear" w:pos="8640"/>
        <w:tab w:val="right" w:pos="10440"/>
      </w:tabs>
      <w:ind w:left="-1800"/>
      <w:rPr>
        <w:noProof/>
      </w:rPr>
    </w:pPr>
  </w:p>
  <w:p w14:paraId="29E2240A" w14:textId="77777777" w:rsidR="00B63277" w:rsidRDefault="00B63277" w:rsidP="00ED60FD">
    <w:pPr>
      <w:pStyle w:val="Pieddepage"/>
      <w:tabs>
        <w:tab w:val="clear" w:pos="8640"/>
        <w:tab w:val="right" w:pos="10440"/>
      </w:tabs>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9DE33" w14:textId="77777777" w:rsidR="00B63277" w:rsidRDefault="00B63277" w:rsidP="007C345B">
      <w:r>
        <w:separator/>
      </w:r>
    </w:p>
  </w:footnote>
  <w:footnote w:type="continuationSeparator" w:id="0">
    <w:p w14:paraId="48CE2F9B" w14:textId="77777777" w:rsidR="00B63277" w:rsidRDefault="00B63277" w:rsidP="007C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D1E2" w14:textId="77777777" w:rsidR="00B63277" w:rsidRDefault="00B63277" w:rsidP="007C345B">
    <w:pPr>
      <w:pStyle w:val="En-tte"/>
      <w:ind w:hanging="1800"/>
      <w:rPr>
        <w:noProof/>
      </w:rPr>
    </w:pPr>
    <w:r>
      <w:rPr>
        <w:noProof/>
      </w:rPr>
      <w:t xml:space="preserve">                        </w:t>
    </w:r>
  </w:p>
  <w:p w14:paraId="5077B37A" w14:textId="77777777" w:rsidR="00B63277" w:rsidRDefault="00B63277" w:rsidP="007C345B">
    <w:pPr>
      <w:pStyle w:val="En-tte"/>
      <w:ind w:hanging="1800"/>
    </w:pPr>
    <w:r>
      <w:rPr>
        <w:noProof/>
      </w:rPr>
      <w:t xml:space="preserve">                        </w:t>
    </w:r>
    <w:r>
      <w:rPr>
        <w:noProof/>
        <w:lang w:val="fr-FR" w:eastAsia="fr-FR"/>
      </w:rPr>
      <w:drawing>
        <wp:inline distT="0" distB="0" distL="0" distR="0" wp14:anchorId="53081F42" wp14:editId="79A3FCC4">
          <wp:extent cx="1913255" cy="863600"/>
          <wp:effectExtent l="0" t="0" r="0" b="0"/>
          <wp:docPr id="3" name="Picture 3" descr="Macintosh HD:Users:jeeyoonrhee:  CURRENT:Priority 1:IPG:MAGNA:Stationary:Letterhead Word:Asset:MAGNA_Letterhead option1 300dpi top.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eyoonrhee:  CURRENT:Priority 1:IPG:MAGNA:Stationary:Letterhead Word:Asset:MAGNA_Letterhead option1 300dpi top.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863600"/>
                  </a:xfrm>
                  <a:prstGeom prst="rect">
                    <a:avLst/>
                  </a:prstGeom>
                  <a:noFill/>
                  <a:ln>
                    <a:noFill/>
                  </a:ln>
                </pic:spPr>
              </pic:pic>
            </a:graphicData>
          </a:graphic>
        </wp:inline>
      </w:drawing>
    </w:r>
    <w:r>
      <w:rPr>
        <w:noProof/>
      </w:rPr>
      <w:t xml:space="preserve">                                                                                           </w:t>
    </w:r>
    <w:r>
      <w:rPr>
        <w:noProof/>
        <w:lang w:val="fr-FR" w:eastAsia="fr-FR"/>
      </w:rPr>
      <w:drawing>
        <wp:inline distT="0" distB="0" distL="0" distR="0" wp14:anchorId="2324EA95" wp14:editId="5A4827E0">
          <wp:extent cx="685800" cy="704850"/>
          <wp:effectExtent l="0" t="0" r="0" b="0"/>
          <wp:docPr id="5" name="Picture 5"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52B"/>
    <w:multiLevelType w:val="hybridMultilevel"/>
    <w:tmpl w:val="8E52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73796"/>
    <w:multiLevelType w:val="hybridMultilevel"/>
    <w:tmpl w:val="694C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B5C2E"/>
    <w:multiLevelType w:val="hybridMultilevel"/>
    <w:tmpl w:val="319A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C77AB4"/>
    <w:multiLevelType w:val="hybridMultilevel"/>
    <w:tmpl w:val="2F5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5B"/>
    <w:rsid w:val="00006EDE"/>
    <w:rsid w:val="00010CAB"/>
    <w:rsid w:val="00025016"/>
    <w:rsid w:val="00025216"/>
    <w:rsid w:val="00042CE3"/>
    <w:rsid w:val="00044C4E"/>
    <w:rsid w:val="00045AEA"/>
    <w:rsid w:val="00046E42"/>
    <w:rsid w:val="000675F2"/>
    <w:rsid w:val="000A4CE6"/>
    <w:rsid w:val="000C783C"/>
    <w:rsid w:val="000F1F79"/>
    <w:rsid w:val="000F27C8"/>
    <w:rsid w:val="000F3B40"/>
    <w:rsid w:val="00102D1A"/>
    <w:rsid w:val="00111F06"/>
    <w:rsid w:val="00112A1F"/>
    <w:rsid w:val="00127FC8"/>
    <w:rsid w:val="00130A31"/>
    <w:rsid w:val="001313C1"/>
    <w:rsid w:val="001316C3"/>
    <w:rsid w:val="001443A5"/>
    <w:rsid w:val="001A0A24"/>
    <w:rsid w:val="001B1448"/>
    <w:rsid w:val="001B213D"/>
    <w:rsid w:val="001E2A43"/>
    <w:rsid w:val="00200275"/>
    <w:rsid w:val="002328CD"/>
    <w:rsid w:val="0025715D"/>
    <w:rsid w:val="00266512"/>
    <w:rsid w:val="0026654B"/>
    <w:rsid w:val="00271DBC"/>
    <w:rsid w:val="002736AE"/>
    <w:rsid w:val="00277C3C"/>
    <w:rsid w:val="0028043E"/>
    <w:rsid w:val="00281B6C"/>
    <w:rsid w:val="00286B28"/>
    <w:rsid w:val="00295731"/>
    <w:rsid w:val="002B4674"/>
    <w:rsid w:val="002C4626"/>
    <w:rsid w:val="002F4D25"/>
    <w:rsid w:val="00301C4A"/>
    <w:rsid w:val="00327DAA"/>
    <w:rsid w:val="00330BDB"/>
    <w:rsid w:val="003328F8"/>
    <w:rsid w:val="003367FA"/>
    <w:rsid w:val="00340333"/>
    <w:rsid w:val="00341977"/>
    <w:rsid w:val="00342841"/>
    <w:rsid w:val="003527C4"/>
    <w:rsid w:val="00363DF7"/>
    <w:rsid w:val="0036616C"/>
    <w:rsid w:val="0037465B"/>
    <w:rsid w:val="00390BAD"/>
    <w:rsid w:val="0039539D"/>
    <w:rsid w:val="00395BEF"/>
    <w:rsid w:val="003A1357"/>
    <w:rsid w:val="003B375A"/>
    <w:rsid w:val="003C47B3"/>
    <w:rsid w:val="003D35D9"/>
    <w:rsid w:val="003D3DE4"/>
    <w:rsid w:val="003F0B45"/>
    <w:rsid w:val="003F1D69"/>
    <w:rsid w:val="00410EBF"/>
    <w:rsid w:val="00417C25"/>
    <w:rsid w:val="004251A2"/>
    <w:rsid w:val="004343E3"/>
    <w:rsid w:val="00451D50"/>
    <w:rsid w:val="0045250B"/>
    <w:rsid w:val="00484679"/>
    <w:rsid w:val="00490017"/>
    <w:rsid w:val="00496A3A"/>
    <w:rsid w:val="00497A5E"/>
    <w:rsid w:val="004A4F51"/>
    <w:rsid w:val="004A51C7"/>
    <w:rsid w:val="004B4C9C"/>
    <w:rsid w:val="004C74FF"/>
    <w:rsid w:val="004E62A7"/>
    <w:rsid w:val="00504340"/>
    <w:rsid w:val="005107C5"/>
    <w:rsid w:val="00521903"/>
    <w:rsid w:val="00532242"/>
    <w:rsid w:val="00553EC5"/>
    <w:rsid w:val="00560873"/>
    <w:rsid w:val="00574084"/>
    <w:rsid w:val="0059162D"/>
    <w:rsid w:val="005943F9"/>
    <w:rsid w:val="005A6E3C"/>
    <w:rsid w:val="005B09DC"/>
    <w:rsid w:val="005C24FB"/>
    <w:rsid w:val="005C5012"/>
    <w:rsid w:val="005E1004"/>
    <w:rsid w:val="005F4EFC"/>
    <w:rsid w:val="005F4F60"/>
    <w:rsid w:val="006070D8"/>
    <w:rsid w:val="00630F78"/>
    <w:rsid w:val="006339D8"/>
    <w:rsid w:val="00650273"/>
    <w:rsid w:val="00680092"/>
    <w:rsid w:val="00690F89"/>
    <w:rsid w:val="006A1820"/>
    <w:rsid w:val="006A5346"/>
    <w:rsid w:val="006B41CF"/>
    <w:rsid w:val="006B4F5E"/>
    <w:rsid w:val="006C4D00"/>
    <w:rsid w:val="006D13B4"/>
    <w:rsid w:val="006D4A85"/>
    <w:rsid w:val="006D7A33"/>
    <w:rsid w:val="006E2774"/>
    <w:rsid w:val="006E5A38"/>
    <w:rsid w:val="006F7CC2"/>
    <w:rsid w:val="00732768"/>
    <w:rsid w:val="00740704"/>
    <w:rsid w:val="00740889"/>
    <w:rsid w:val="00742F53"/>
    <w:rsid w:val="007466C3"/>
    <w:rsid w:val="0075114F"/>
    <w:rsid w:val="00751CEF"/>
    <w:rsid w:val="007663D1"/>
    <w:rsid w:val="00775D46"/>
    <w:rsid w:val="007831B8"/>
    <w:rsid w:val="007859CF"/>
    <w:rsid w:val="00794601"/>
    <w:rsid w:val="007A4630"/>
    <w:rsid w:val="007B19E2"/>
    <w:rsid w:val="007B1FF5"/>
    <w:rsid w:val="007B2B65"/>
    <w:rsid w:val="007B5215"/>
    <w:rsid w:val="007C1F36"/>
    <w:rsid w:val="007C272D"/>
    <w:rsid w:val="007C345B"/>
    <w:rsid w:val="007C401A"/>
    <w:rsid w:val="007C47E1"/>
    <w:rsid w:val="007E51D8"/>
    <w:rsid w:val="007F349D"/>
    <w:rsid w:val="00811F8D"/>
    <w:rsid w:val="00835477"/>
    <w:rsid w:val="00843DD8"/>
    <w:rsid w:val="008478BF"/>
    <w:rsid w:val="008638B2"/>
    <w:rsid w:val="00885D4C"/>
    <w:rsid w:val="008A4F30"/>
    <w:rsid w:val="008B669E"/>
    <w:rsid w:val="008C5219"/>
    <w:rsid w:val="008D473B"/>
    <w:rsid w:val="008E4C7F"/>
    <w:rsid w:val="00905146"/>
    <w:rsid w:val="00916A85"/>
    <w:rsid w:val="00933C0C"/>
    <w:rsid w:val="00933F14"/>
    <w:rsid w:val="00935B0B"/>
    <w:rsid w:val="00940228"/>
    <w:rsid w:val="00944832"/>
    <w:rsid w:val="009608DC"/>
    <w:rsid w:val="009739B9"/>
    <w:rsid w:val="00976E9C"/>
    <w:rsid w:val="00991E5E"/>
    <w:rsid w:val="00996033"/>
    <w:rsid w:val="009965B8"/>
    <w:rsid w:val="009A3798"/>
    <w:rsid w:val="00A06CC6"/>
    <w:rsid w:val="00A10538"/>
    <w:rsid w:val="00A41060"/>
    <w:rsid w:val="00A42B04"/>
    <w:rsid w:val="00A67AC7"/>
    <w:rsid w:val="00A71627"/>
    <w:rsid w:val="00A73621"/>
    <w:rsid w:val="00A74A17"/>
    <w:rsid w:val="00A8023C"/>
    <w:rsid w:val="00A817E5"/>
    <w:rsid w:val="00A872C3"/>
    <w:rsid w:val="00A95698"/>
    <w:rsid w:val="00AC092E"/>
    <w:rsid w:val="00AD18A2"/>
    <w:rsid w:val="00AD64E8"/>
    <w:rsid w:val="00AE3B77"/>
    <w:rsid w:val="00B14ECA"/>
    <w:rsid w:val="00B34625"/>
    <w:rsid w:val="00B36042"/>
    <w:rsid w:val="00B54FAB"/>
    <w:rsid w:val="00B61280"/>
    <w:rsid w:val="00B63277"/>
    <w:rsid w:val="00B66056"/>
    <w:rsid w:val="00B66872"/>
    <w:rsid w:val="00B95077"/>
    <w:rsid w:val="00BA7681"/>
    <w:rsid w:val="00BB1521"/>
    <w:rsid w:val="00BB42D1"/>
    <w:rsid w:val="00BB708C"/>
    <w:rsid w:val="00BD4FB8"/>
    <w:rsid w:val="00C02228"/>
    <w:rsid w:val="00C105B7"/>
    <w:rsid w:val="00C16E18"/>
    <w:rsid w:val="00C223CB"/>
    <w:rsid w:val="00C255E8"/>
    <w:rsid w:val="00C31E79"/>
    <w:rsid w:val="00C34322"/>
    <w:rsid w:val="00C54E89"/>
    <w:rsid w:val="00C54EE0"/>
    <w:rsid w:val="00C6523E"/>
    <w:rsid w:val="00C71557"/>
    <w:rsid w:val="00C93B6F"/>
    <w:rsid w:val="00CA6BB4"/>
    <w:rsid w:val="00CB343C"/>
    <w:rsid w:val="00CB4575"/>
    <w:rsid w:val="00CC27A1"/>
    <w:rsid w:val="00CD0AD3"/>
    <w:rsid w:val="00CD50D4"/>
    <w:rsid w:val="00CD64F1"/>
    <w:rsid w:val="00CE0192"/>
    <w:rsid w:val="00CE2938"/>
    <w:rsid w:val="00D15FDC"/>
    <w:rsid w:val="00D26F82"/>
    <w:rsid w:val="00D37949"/>
    <w:rsid w:val="00D43C42"/>
    <w:rsid w:val="00D542EF"/>
    <w:rsid w:val="00D57458"/>
    <w:rsid w:val="00D641AD"/>
    <w:rsid w:val="00D906E1"/>
    <w:rsid w:val="00D94B6F"/>
    <w:rsid w:val="00D956A4"/>
    <w:rsid w:val="00D97B66"/>
    <w:rsid w:val="00DA13A4"/>
    <w:rsid w:val="00DA6338"/>
    <w:rsid w:val="00DB180D"/>
    <w:rsid w:val="00DC1EC6"/>
    <w:rsid w:val="00DC44F0"/>
    <w:rsid w:val="00DD2919"/>
    <w:rsid w:val="00DE018C"/>
    <w:rsid w:val="00DF22F3"/>
    <w:rsid w:val="00DF6A59"/>
    <w:rsid w:val="00E07520"/>
    <w:rsid w:val="00E11580"/>
    <w:rsid w:val="00E12AC4"/>
    <w:rsid w:val="00E13365"/>
    <w:rsid w:val="00E1670B"/>
    <w:rsid w:val="00E16F0B"/>
    <w:rsid w:val="00E1741C"/>
    <w:rsid w:val="00E26407"/>
    <w:rsid w:val="00E41791"/>
    <w:rsid w:val="00E4781C"/>
    <w:rsid w:val="00E50EE3"/>
    <w:rsid w:val="00E51A37"/>
    <w:rsid w:val="00E66A7A"/>
    <w:rsid w:val="00E807DE"/>
    <w:rsid w:val="00E94F44"/>
    <w:rsid w:val="00EA6FF5"/>
    <w:rsid w:val="00EB00E7"/>
    <w:rsid w:val="00EB1702"/>
    <w:rsid w:val="00EB5BB8"/>
    <w:rsid w:val="00EB5C8C"/>
    <w:rsid w:val="00ED2688"/>
    <w:rsid w:val="00ED60FD"/>
    <w:rsid w:val="00ED6755"/>
    <w:rsid w:val="00EF3841"/>
    <w:rsid w:val="00F13B47"/>
    <w:rsid w:val="00F261EA"/>
    <w:rsid w:val="00F307C2"/>
    <w:rsid w:val="00F3097F"/>
    <w:rsid w:val="00F51E5D"/>
    <w:rsid w:val="00F73E4E"/>
    <w:rsid w:val="00F837C6"/>
    <w:rsid w:val="00F96D41"/>
    <w:rsid w:val="00FA7FC0"/>
    <w:rsid w:val="00FB028D"/>
    <w:rsid w:val="00FC5C47"/>
    <w:rsid w:val="00FC76EA"/>
    <w:rsid w:val="00FD5B5B"/>
    <w:rsid w:val="00FD660D"/>
    <w:rsid w:val="00FE5E4F"/>
    <w:rsid w:val="00FF0FC1"/>
    <w:rsid w:val="00FF1334"/>
    <w:rsid w:val="00FF21A5"/>
    <w:rsid w:val="00FF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3F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1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45B"/>
    <w:pPr>
      <w:tabs>
        <w:tab w:val="center" w:pos="4320"/>
        <w:tab w:val="right" w:pos="8640"/>
      </w:tabs>
    </w:pPr>
  </w:style>
  <w:style w:type="character" w:customStyle="1" w:styleId="En-tteCar">
    <w:name w:val="En-tête Car"/>
    <w:basedOn w:val="Policepardfaut"/>
    <w:link w:val="En-tte"/>
    <w:uiPriority w:val="99"/>
    <w:rsid w:val="007C345B"/>
  </w:style>
  <w:style w:type="paragraph" w:styleId="Pieddepage">
    <w:name w:val="footer"/>
    <w:basedOn w:val="Normal"/>
    <w:link w:val="PieddepageCar"/>
    <w:uiPriority w:val="99"/>
    <w:unhideWhenUsed/>
    <w:rsid w:val="007C345B"/>
    <w:pPr>
      <w:tabs>
        <w:tab w:val="center" w:pos="4320"/>
        <w:tab w:val="right" w:pos="8640"/>
      </w:tabs>
    </w:pPr>
  </w:style>
  <w:style w:type="character" w:customStyle="1" w:styleId="PieddepageCar">
    <w:name w:val="Pied de page Car"/>
    <w:basedOn w:val="Policepardfaut"/>
    <w:link w:val="Pieddepage"/>
    <w:uiPriority w:val="99"/>
    <w:rsid w:val="007C345B"/>
  </w:style>
  <w:style w:type="paragraph" w:styleId="Textedebulles">
    <w:name w:val="Balloon Text"/>
    <w:basedOn w:val="Normal"/>
    <w:link w:val="TextedebullesCar"/>
    <w:uiPriority w:val="99"/>
    <w:semiHidden/>
    <w:unhideWhenUsed/>
    <w:rsid w:val="007C34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45B"/>
    <w:rPr>
      <w:rFonts w:ascii="Lucida Grande" w:hAnsi="Lucida Grande" w:cs="Lucida Grande"/>
      <w:sz w:val="18"/>
      <w:szCs w:val="18"/>
    </w:rPr>
  </w:style>
  <w:style w:type="paragraph" w:styleId="Sansinterligne">
    <w:name w:val="No Spacing"/>
    <w:uiPriority w:val="1"/>
    <w:qFormat/>
    <w:rsid w:val="006B41CF"/>
    <w:rPr>
      <w:rFonts w:ascii="Calibri" w:eastAsia="Calibri" w:hAnsi="Calibri" w:cs="Times New Roman"/>
      <w:sz w:val="22"/>
      <w:szCs w:val="22"/>
    </w:rPr>
  </w:style>
  <w:style w:type="character" w:styleId="Lienhypertexte">
    <w:name w:val="Hyperlink"/>
    <w:basedOn w:val="Policepardfaut"/>
    <w:uiPriority w:val="99"/>
    <w:unhideWhenUsed/>
    <w:rsid w:val="006B41CF"/>
    <w:rPr>
      <w:color w:val="0000FF"/>
      <w:u w:val="single"/>
    </w:rPr>
  </w:style>
  <w:style w:type="character" w:customStyle="1" w:styleId="Titre1Car">
    <w:name w:val="Titre 1 Car"/>
    <w:basedOn w:val="Policepardfaut"/>
    <w:link w:val="Titre1"/>
    <w:uiPriority w:val="9"/>
    <w:rsid w:val="00B6128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76E9C"/>
    <w:pPr>
      <w:ind w:left="720"/>
      <w:contextualSpacing/>
    </w:pPr>
  </w:style>
  <w:style w:type="paragraph" w:customStyle="1" w:styleId="s15">
    <w:name w:val="s15"/>
    <w:basedOn w:val="Normal"/>
    <w:rsid w:val="00E50EE3"/>
    <w:pPr>
      <w:spacing w:before="100" w:beforeAutospacing="1" w:after="100" w:afterAutospacing="1"/>
    </w:pPr>
    <w:rPr>
      <w:rFonts w:ascii="Times New Roman" w:eastAsiaTheme="minorHAnsi" w:hAnsi="Times New Roman" w:cs="Times New Roman"/>
    </w:rPr>
  </w:style>
  <w:style w:type="paragraph" w:customStyle="1" w:styleId="s18">
    <w:name w:val="s18"/>
    <w:basedOn w:val="Normal"/>
    <w:rsid w:val="00E50EE3"/>
    <w:pPr>
      <w:spacing w:before="100" w:beforeAutospacing="1" w:after="100" w:afterAutospacing="1"/>
    </w:pPr>
    <w:rPr>
      <w:rFonts w:ascii="Times New Roman" w:eastAsiaTheme="minorHAnsi" w:hAnsi="Times New Roman" w:cs="Times New Roman"/>
    </w:rPr>
  </w:style>
  <w:style w:type="paragraph" w:customStyle="1" w:styleId="s2">
    <w:name w:val="s2"/>
    <w:basedOn w:val="Normal"/>
    <w:rsid w:val="00E50EE3"/>
    <w:pPr>
      <w:spacing w:before="100" w:beforeAutospacing="1" w:after="100" w:afterAutospacing="1"/>
    </w:pPr>
    <w:rPr>
      <w:rFonts w:ascii="Times New Roman" w:eastAsiaTheme="minorHAnsi" w:hAnsi="Times New Roman" w:cs="Times New Roman"/>
    </w:rPr>
  </w:style>
  <w:style w:type="character" w:customStyle="1" w:styleId="s14">
    <w:name w:val="s14"/>
    <w:basedOn w:val="Policepardfaut"/>
    <w:rsid w:val="00E50EE3"/>
  </w:style>
  <w:style w:type="character" w:customStyle="1" w:styleId="s6">
    <w:name w:val="s6"/>
    <w:basedOn w:val="Policepardfaut"/>
    <w:rsid w:val="00E50EE3"/>
  </w:style>
  <w:style w:type="character" w:customStyle="1" w:styleId="s19">
    <w:name w:val="s19"/>
    <w:basedOn w:val="Policepardfaut"/>
    <w:rsid w:val="00E50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1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45B"/>
    <w:pPr>
      <w:tabs>
        <w:tab w:val="center" w:pos="4320"/>
        <w:tab w:val="right" w:pos="8640"/>
      </w:tabs>
    </w:pPr>
  </w:style>
  <w:style w:type="character" w:customStyle="1" w:styleId="En-tteCar">
    <w:name w:val="En-tête Car"/>
    <w:basedOn w:val="Policepardfaut"/>
    <w:link w:val="En-tte"/>
    <w:uiPriority w:val="99"/>
    <w:rsid w:val="007C345B"/>
  </w:style>
  <w:style w:type="paragraph" w:styleId="Pieddepage">
    <w:name w:val="footer"/>
    <w:basedOn w:val="Normal"/>
    <w:link w:val="PieddepageCar"/>
    <w:uiPriority w:val="99"/>
    <w:unhideWhenUsed/>
    <w:rsid w:val="007C345B"/>
    <w:pPr>
      <w:tabs>
        <w:tab w:val="center" w:pos="4320"/>
        <w:tab w:val="right" w:pos="8640"/>
      </w:tabs>
    </w:pPr>
  </w:style>
  <w:style w:type="character" w:customStyle="1" w:styleId="PieddepageCar">
    <w:name w:val="Pied de page Car"/>
    <w:basedOn w:val="Policepardfaut"/>
    <w:link w:val="Pieddepage"/>
    <w:uiPriority w:val="99"/>
    <w:rsid w:val="007C345B"/>
  </w:style>
  <w:style w:type="paragraph" w:styleId="Textedebulles">
    <w:name w:val="Balloon Text"/>
    <w:basedOn w:val="Normal"/>
    <w:link w:val="TextedebullesCar"/>
    <w:uiPriority w:val="99"/>
    <w:semiHidden/>
    <w:unhideWhenUsed/>
    <w:rsid w:val="007C34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45B"/>
    <w:rPr>
      <w:rFonts w:ascii="Lucida Grande" w:hAnsi="Lucida Grande" w:cs="Lucida Grande"/>
      <w:sz w:val="18"/>
      <w:szCs w:val="18"/>
    </w:rPr>
  </w:style>
  <w:style w:type="paragraph" w:styleId="Sansinterligne">
    <w:name w:val="No Spacing"/>
    <w:uiPriority w:val="1"/>
    <w:qFormat/>
    <w:rsid w:val="006B41CF"/>
    <w:rPr>
      <w:rFonts w:ascii="Calibri" w:eastAsia="Calibri" w:hAnsi="Calibri" w:cs="Times New Roman"/>
      <w:sz w:val="22"/>
      <w:szCs w:val="22"/>
    </w:rPr>
  </w:style>
  <w:style w:type="character" w:styleId="Lienhypertexte">
    <w:name w:val="Hyperlink"/>
    <w:basedOn w:val="Policepardfaut"/>
    <w:uiPriority w:val="99"/>
    <w:unhideWhenUsed/>
    <w:rsid w:val="006B41CF"/>
    <w:rPr>
      <w:color w:val="0000FF"/>
      <w:u w:val="single"/>
    </w:rPr>
  </w:style>
  <w:style w:type="character" w:customStyle="1" w:styleId="Titre1Car">
    <w:name w:val="Titre 1 Car"/>
    <w:basedOn w:val="Policepardfaut"/>
    <w:link w:val="Titre1"/>
    <w:uiPriority w:val="9"/>
    <w:rsid w:val="00B6128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76E9C"/>
    <w:pPr>
      <w:ind w:left="720"/>
      <w:contextualSpacing/>
    </w:pPr>
  </w:style>
  <w:style w:type="paragraph" w:customStyle="1" w:styleId="s15">
    <w:name w:val="s15"/>
    <w:basedOn w:val="Normal"/>
    <w:rsid w:val="00E50EE3"/>
    <w:pPr>
      <w:spacing w:before="100" w:beforeAutospacing="1" w:after="100" w:afterAutospacing="1"/>
    </w:pPr>
    <w:rPr>
      <w:rFonts w:ascii="Times New Roman" w:eastAsiaTheme="minorHAnsi" w:hAnsi="Times New Roman" w:cs="Times New Roman"/>
    </w:rPr>
  </w:style>
  <w:style w:type="paragraph" w:customStyle="1" w:styleId="s18">
    <w:name w:val="s18"/>
    <w:basedOn w:val="Normal"/>
    <w:rsid w:val="00E50EE3"/>
    <w:pPr>
      <w:spacing w:before="100" w:beforeAutospacing="1" w:after="100" w:afterAutospacing="1"/>
    </w:pPr>
    <w:rPr>
      <w:rFonts w:ascii="Times New Roman" w:eastAsiaTheme="minorHAnsi" w:hAnsi="Times New Roman" w:cs="Times New Roman"/>
    </w:rPr>
  </w:style>
  <w:style w:type="paragraph" w:customStyle="1" w:styleId="s2">
    <w:name w:val="s2"/>
    <w:basedOn w:val="Normal"/>
    <w:rsid w:val="00E50EE3"/>
    <w:pPr>
      <w:spacing w:before="100" w:beforeAutospacing="1" w:after="100" w:afterAutospacing="1"/>
    </w:pPr>
    <w:rPr>
      <w:rFonts w:ascii="Times New Roman" w:eastAsiaTheme="minorHAnsi" w:hAnsi="Times New Roman" w:cs="Times New Roman"/>
    </w:rPr>
  </w:style>
  <w:style w:type="character" w:customStyle="1" w:styleId="s14">
    <w:name w:val="s14"/>
    <w:basedOn w:val="Policepardfaut"/>
    <w:rsid w:val="00E50EE3"/>
  </w:style>
  <w:style w:type="character" w:customStyle="1" w:styleId="s6">
    <w:name w:val="s6"/>
    <w:basedOn w:val="Policepardfaut"/>
    <w:rsid w:val="00E50EE3"/>
  </w:style>
  <w:style w:type="character" w:customStyle="1" w:styleId="s19">
    <w:name w:val="s19"/>
    <w:basedOn w:val="Policepardfaut"/>
    <w:rsid w:val="00E5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462">
      <w:bodyDiv w:val="1"/>
      <w:marLeft w:val="0"/>
      <w:marRight w:val="0"/>
      <w:marTop w:val="0"/>
      <w:marBottom w:val="0"/>
      <w:divBdr>
        <w:top w:val="none" w:sz="0" w:space="0" w:color="auto"/>
        <w:left w:val="none" w:sz="0" w:space="0" w:color="auto"/>
        <w:bottom w:val="none" w:sz="0" w:space="0" w:color="auto"/>
        <w:right w:val="none" w:sz="0" w:space="0" w:color="auto"/>
      </w:divBdr>
    </w:div>
    <w:div w:id="764426860">
      <w:bodyDiv w:val="1"/>
      <w:marLeft w:val="0"/>
      <w:marRight w:val="0"/>
      <w:marTop w:val="0"/>
      <w:marBottom w:val="0"/>
      <w:divBdr>
        <w:top w:val="none" w:sz="0" w:space="0" w:color="auto"/>
        <w:left w:val="none" w:sz="0" w:space="0" w:color="auto"/>
        <w:bottom w:val="none" w:sz="0" w:space="0" w:color="auto"/>
        <w:right w:val="none" w:sz="0" w:space="0" w:color="auto"/>
      </w:divBdr>
    </w:div>
    <w:div w:id="912738676">
      <w:bodyDiv w:val="1"/>
      <w:marLeft w:val="0"/>
      <w:marRight w:val="0"/>
      <w:marTop w:val="0"/>
      <w:marBottom w:val="0"/>
      <w:divBdr>
        <w:top w:val="none" w:sz="0" w:space="0" w:color="auto"/>
        <w:left w:val="none" w:sz="0" w:space="0" w:color="auto"/>
        <w:bottom w:val="none" w:sz="0" w:space="0" w:color="auto"/>
        <w:right w:val="none" w:sz="0" w:space="0" w:color="auto"/>
      </w:divBdr>
    </w:div>
    <w:div w:id="1277560583">
      <w:bodyDiv w:val="1"/>
      <w:marLeft w:val="0"/>
      <w:marRight w:val="0"/>
      <w:marTop w:val="0"/>
      <w:marBottom w:val="0"/>
      <w:divBdr>
        <w:top w:val="none" w:sz="0" w:space="0" w:color="auto"/>
        <w:left w:val="none" w:sz="0" w:space="0" w:color="auto"/>
        <w:bottom w:val="none" w:sz="0" w:space="0" w:color="auto"/>
        <w:right w:val="none" w:sz="0" w:space="0" w:color="auto"/>
      </w:divBdr>
    </w:div>
    <w:div w:id="1620182563">
      <w:bodyDiv w:val="1"/>
      <w:marLeft w:val="0"/>
      <w:marRight w:val="0"/>
      <w:marTop w:val="0"/>
      <w:marBottom w:val="0"/>
      <w:divBdr>
        <w:top w:val="none" w:sz="0" w:space="0" w:color="auto"/>
        <w:left w:val="none" w:sz="0" w:space="0" w:color="auto"/>
        <w:bottom w:val="none" w:sz="0" w:space="0" w:color="auto"/>
        <w:right w:val="none" w:sz="0" w:space="0" w:color="auto"/>
      </w:divBdr>
    </w:div>
    <w:div w:id="1869100075">
      <w:bodyDiv w:val="1"/>
      <w:marLeft w:val="0"/>
      <w:marRight w:val="0"/>
      <w:marTop w:val="0"/>
      <w:marBottom w:val="0"/>
      <w:divBdr>
        <w:top w:val="none" w:sz="0" w:space="0" w:color="auto"/>
        <w:left w:val="none" w:sz="0" w:space="0" w:color="auto"/>
        <w:bottom w:val="none" w:sz="0" w:space="0" w:color="auto"/>
        <w:right w:val="none" w:sz="0" w:space="0" w:color="auto"/>
      </w:divBdr>
    </w:div>
    <w:div w:id="1959068694">
      <w:bodyDiv w:val="1"/>
      <w:marLeft w:val="0"/>
      <w:marRight w:val="0"/>
      <w:marTop w:val="0"/>
      <w:marBottom w:val="0"/>
      <w:divBdr>
        <w:top w:val="none" w:sz="0" w:space="0" w:color="auto"/>
        <w:left w:val="none" w:sz="0" w:space="0" w:color="auto"/>
        <w:bottom w:val="none" w:sz="0" w:space="0" w:color="auto"/>
        <w:right w:val="none" w:sz="0" w:space="0" w:color="auto"/>
      </w:divBdr>
    </w:div>
    <w:div w:id="2133865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gmediabrand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ncent.letang@magnaglobal.com" TargetMode="External"/><Relationship Id="rId4" Type="http://schemas.microsoft.com/office/2007/relationships/stylesWithEffects" Target="stylesWithEffects.xml"/><Relationship Id="rId9" Type="http://schemas.openxmlformats.org/officeDocument/2006/relationships/hyperlink" Target="http://www.magnaglob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B3DE-FECC-430B-BBBC-46D8F718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3388</Words>
  <Characters>18638</Characters>
  <Application>Microsoft Office Word</Application>
  <DocSecurity>4</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Jeeyoon Rhee</dc:creator>
  <cp:lastModifiedBy>Franzoni, Sandra (PAR-MDB)</cp:lastModifiedBy>
  <cp:revision>2</cp:revision>
  <cp:lastPrinted>2012-12-03T09:22:00Z</cp:lastPrinted>
  <dcterms:created xsi:type="dcterms:W3CDTF">2012-12-03T10:00:00Z</dcterms:created>
  <dcterms:modified xsi:type="dcterms:W3CDTF">2012-12-03T10:00:00Z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